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sz w:val="28"/>
          <w:szCs w:val="28"/>
        </w:rPr>
      </w:pPr>
      <w:bookmarkStart w:id="508" w:name="_GoBack"/>
      <w:bookmarkEnd w:id="508"/>
      <w:r>
        <w:t xml:space="preserve"> </w:t>
      </w:r>
      <w:r>
        <w:rPr>
          <w:rFonts w:hint="eastAsia" w:ascii="宋体" w:hAnsi="宋体" w:eastAsia="宋体" w:cs="宋体"/>
          <w:sz w:val="28"/>
          <w:szCs w:val="28"/>
        </w:rPr>
        <w:t>FH/HBYA01-201</w:t>
      </w:r>
      <w:r>
        <w:rPr>
          <w:rFonts w:hint="eastAsia" w:ascii="宋体" w:hAnsi="宋体" w:eastAsia="宋体" w:cs="宋体"/>
          <w:sz w:val="28"/>
          <w:szCs w:val="28"/>
          <w:lang w:val="en-US" w:eastAsia="zh-CN"/>
        </w:rPr>
        <w:t>6</w:t>
      </w:r>
    </w:p>
    <w:p>
      <w:pPr>
        <w:rPr>
          <w:rFonts w:eastAsia="楷体_GB2312"/>
          <w:sz w:val="52"/>
        </w:rPr>
      </w:pPr>
    </w:p>
    <w:p>
      <w:pPr>
        <w:spacing w:line="1000" w:lineRule="exact"/>
        <w:jc w:val="center"/>
        <w:rPr>
          <w:rFonts w:eastAsia="楷体_GB2312"/>
          <w:b/>
          <w:bCs/>
          <w:sz w:val="60"/>
          <w:szCs w:val="60"/>
        </w:rPr>
      </w:pPr>
      <w:r>
        <w:rPr>
          <w:rFonts w:eastAsia="楷体_GB2312"/>
          <w:b/>
          <w:bCs/>
          <w:sz w:val="60"/>
          <w:szCs w:val="60"/>
        </w:rPr>
        <w:t>陕西富化化工有限责任公司</w:t>
      </w:r>
    </w:p>
    <w:p>
      <w:pPr>
        <w:spacing w:line="1000" w:lineRule="exact"/>
        <w:jc w:val="center"/>
        <w:rPr>
          <w:rFonts w:eastAsia="楷体_GB2312"/>
          <w:b/>
          <w:bCs/>
          <w:sz w:val="60"/>
          <w:szCs w:val="60"/>
        </w:rPr>
      </w:pPr>
      <w:r>
        <w:rPr>
          <w:rFonts w:eastAsia="楷体_GB2312"/>
          <w:b/>
          <w:bCs/>
          <w:sz w:val="60"/>
          <w:szCs w:val="60"/>
        </w:rPr>
        <w:t>突发环境事件应急预案</w:t>
      </w:r>
    </w:p>
    <w:p>
      <w:pPr>
        <w:rPr>
          <w:rFonts w:eastAsia="楷体_GB2312"/>
          <w:b/>
          <w:bCs/>
          <w:sz w:val="72"/>
        </w:rPr>
      </w:pPr>
    </w:p>
    <w:p>
      <w:pPr>
        <w:rPr>
          <w:rFonts w:eastAsia="楷体_GB2312"/>
          <w:b/>
          <w:bCs/>
          <w:sz w:val="72"/>
        </w:rPr>
      </w:pPr>
    </w:p>
    <w:p>
      <w:pPr>
        <w:spacing w:line="360" w:lineRule="auto"/>
        <w:jc w:val="center"/>
        <w:rPr>
          <w:rFonts w:eastAsia="黑体"/>
          <w:bCs/>
        </w:rPr>
      </w:pPr>
      <w:r>
        <w:rPr>
          <w:rFonts w:ascii="Calibri" w:hAnsi="Calibri" w:eastAsia="黑体" w:cs="黑体"/>
          <w:bCs/>
          <w:kern w:val="2"/>
          <w:sz w:val="21"/>
          <w:szCs w:val="24"/>
          <w:lang w:val="en-US" w:eastAsia="zh-CN" w:bidi="ar-SA"/>
        </w:rPr>
        <w:drawing>
          <wp:inline distT="0" distB="0" distL="114300" distR="114300">
            <wp:extent cx="2246630" cy="1865630"/>
            <wp:effectExtent l="0" t="0" r="1270"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7">
                      <a:lum bright="6000"/>
                    </a:blip>
                    <a:stretch>
                      <a:fillRect/>
                    </a:stretch>
                  </pic:blipFill>
                  <pic:spPr>
                    <a:xfrm>
                      <a:off x="0" y="0"/>
                      <a:ext cx="2246630" cy="1865630"/>
                    </a:xfrm>
                    <a:prstGeom prst="rect">
                      <a:avLst/>
                    </a:prstGeom>
                    <a:noFill/>
                    <a:ln w="9525">
                      <a:noFill/>
                    </a:ln>
                  </pic:spPr>
                </pic:pic>
              </a:graphicData>
            </a:graphic>
          </wp:inline>
        </w:drawing>
      </w:r>
    </w:p>
    <w:p>
      <w:pPr>
        <w:spacing w:line="360" w:lineRule="auto"/>
        <w:jc w:val="center"/>
        <w:rPr>
          <w:rFonts w:eastAsia="黑体"/>
          <w:bCs/>
        </w:rPr>
      </w:pPr>
    </w:p>
    <w:p>
      <w:pPr>
        <w:spacing w:line="360" w:lineRule="auto"/>
        <w:jc w:val="center"/>
        <w:rPr>
          <w:rFonts w:eastAsia="黑体"/>
          <w:bCs/>
        </w:rPr>
      </w:pPr>
    </w:p>
    <w:p>
      <w:pPr>
        <w:rPr>
          <w:rFonts w:eastAsia="楷体_GB2312"/>
          <w:b/>
          <w:bCs/>
          <w:sz w:val="72"/>
        </w:rPr>
      </w:pPr>
    </w:p>
    <w:p>
      <w:pPr>
        <w:rPr>
          <w:sz w:val="32"/>
        </w:rPr>
      </w:pPr>
    </w:p>
    <w:p>
      <w:pPr>
        <w:spacing w:line="540" w:lineRule="exact"/>
        <w:jc w:val="center"/>
        <w:rPr>
          <w:rFonts w:hint="eastAsia"/>
          <w:bCs/>
          <w:sz w:val="32"/>
          <w:szCs w:val="32"/>
        </w:rPr>
      </w:pPr>
    </w:p>
    <w:p>
      <w:pPr>
        <w:spacing w:line="540" w:lineRule="exact"/>
        <w:jc w:val="center"/>
        <w:rPr>
          <w:rFonts w:ascii="楷体_GB2312" w:eastAsia="楷体_GB2312"/>
          <w:sz w:val="32"/>
          <w:szCs w:val="32"/>
        </w:rPr>
      </w:pPr>
      <w:r>
        <w:rPr>
          <w:rFonts w:ascii="楷体_GB2312" w:eastAsia="楷体_GB2312"/>
          <w:sz w:val="32"/>
          <w:szCs w:val="32"/>
        </w:rPr>
        <w:t>陕西富化化工有限责任公司</w:t>
      </w:r>
    </w:p>
    <w:p>
      <w:pPr>
        <w:spacing w:line="540" w:lineRule="exact"/>
        <w:jc w:val="center"/>
        <w:rPr>
          <w:rFonts w:ascii="楷体_GB2312" w:eastAsia="楷体_GB2312"/>
          <w:sz w:val="32"/>
          <w:szCs w:val="32"/>
        </w:rPr>
      </w:pPr>
      <w:r>
        <w:rPr>
          <w:rFonts w:ascii="楷体_GB2312" w:eastAsia="楷体_GB2312"/>
          <w:sz w:val="32"/>
          <w:szCs w:val="32"/>
        </w:rPr>
        <w:t>二〇一</w:t>
      </w:r>
      <w:r>
        <w:rPr>
          <w:rFonts w:hint="eastAsia" w:ascii="楷体_GB2312" w:eastAsia="楷体_GB2312"/>
          <w:sz w:val="32"/>
          <w:szCs w:val="32"/>
          <w:lang w:eastAsia="zh-CN"/>
        </w:rPr>
        <w:t>六</w:t>
      </w:r>
      <w:r>
        <w:rPr>
          <w:rFonts w:ascii="楷体_GB2312" w:eastAsia="楷体_GB2312"/>
          <w:sz w:val="32"/>
          <w:szCs w:val="32"/>
        </w:rPr>
        <w:t>年</w:t>
      </w:r>
      <w:r>
        <w:rPr>
          <w:rFonts w:hint="eastAsia" w:ascii="楷体_GB2312" w:eastAsia="楷体_GB2312"/>
          <w:sz w:val="32"/>
          <w:szCs w:val="32"/>
          <w:lang w:eastAsia="zh-CN"/>
        </w:rPr>
        <w:t>十二</w:t>
      </w:r>
      <w:r>
        <w:rPr>
          <w:rFonts w:ascii="楷体_GB2312" w:eastAsia="楷体_GB2312"/>
          <w:sz w:val="32"/>
          <w:szCs w:val="32"/>
        </w:rPr>
        <w:t>月</w:t>
      </w:r>
      <w:r>
        <w:rPr>
          <w:rFonts w:hint="eastAsia" w:ascii="楷体_GB2312" w:eastAsia="楷体_GB2312"/>
          <w:sz w:val="32"/>
          <w:szCs w:val="32"/>
          <w:lang w:eastAsia="zh-CN"/>
        </w:rPr>
        <w:t>二十</w:t>
      </w:r>
      <w:r>
        <w:rPr>
          <w:rFonts w:hint="eastAsia" w:ascii="楷体_GB2312" w:eastAsia="楷体_GB2312"/>
          <w:sz w:val="32"/>
          <w:szCs w:val="32"/>
        </w:rPr>
        <w:t>八</w:t>
      </w:r>
      <w:r>
        <w:rPr>
          <w:rFonts w:ascii="楷体_GB2312" w:eastAsia="楷体_GB2312"/>
          <w:sz w:val="32"/>
          <w:szCs w:val="32"/>
        </w:rPr>
        <w:t>日</w:t>
      </w:r>
    </w:p>
    <w:p>
      <w:pPr>
        <w:rPr>
          <w:rFonts w:hint="eastAsia" w:eastAsia="楷体_GB2312"/>
          <w:sz w:val="52"/>
        </w:rPr>
      </w:pPr>
    </w:p>
    <w:p>
      <w:pPr>
        <w:jc w:val="left"/>
        <w:rPr>
          <w:rFonts w:hint="eastAsia" w:ascii="宋体" w:hAnsi="宋体" w:eastAsia="宋体" w:cs="宋体"/>
          <w:sz w:val="28"/>
          <w:szCs w:val="28"/>
        </w:rPr>
      </w:pPr>
      <w:r>
        <w:rPr>
          <w:rFonts w:ascii="Calibri" w:hAnsi="Calibri" w:eastAsia="宋体" w:cs="黑体"/>
          <w:kern w:val="2"/>
          <w:sz w:val="21"/>
          <w:szCs w:val="24"/>
          <w:lang w:val="en-US" w:eastAsia="zh-CN" w:bidi="ar-SA"/>
        </w:rPr>
        <mc:AlternateContent>
          <mc:Choice Requires="wps">
            <w:drawing>
              <wp:anchor distT="0" distB="0" distL="114300" distR="114300" simplePos="0" relativeHeight="251676672" behindDoc="0" locked="0" layoutInCell="0" allowOverlap="1">
                <wp:simplePos x="0" y="0"/>
                <wp:positionH relativeFrom="column">
                  <wp:posOffset>-1257300</wp:posOffset>
                </wp:positionH>
                <wp:positionV relativeFrom="paragraph">
                  <wp:posOffset>198120</wp:posOffset>
                </wp:positionV>
                <wp:extent cx="635" cy="2080260"/>
                <wp:effectExtent l="4445" t="0" r="13970" b="15240"/>
                <wp:wrapNone/>
                <wp:docPr id="19" name="直线 2"/>
                <wp:cNvGraphicFramePr/>
                <a:graphic xmlns:a="http://schemas.openxmlformats.org/drawingml/2006/main">
                  <a:graphicData uri="http://schemas.microsoft.com/office/word/2010/wordprocessingShape">
                    <wps:wsp>
                      <wps:cNvSpPr/>
                      <wps:spPr>
                        <a:xfrm>
                          <a:off x="0" y="0"/>
                          <a:ext cx="635" cy="20802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9pt;margin-top:15.6pt;height:163.8pt;width:0.05pt;z-index:251676672;mso-width-relative:page;mso-height-relative:page;" filled="f" stroked="t" coordsize="21600,21600" o:allowincell="f" o:gfxdata="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60qBdkAAAAMAQAADwAAAAAAAAABACAAAAAi&#10;AAAAZHJzL2Rvd25yZXYueG1sUEsBAhQAFAAAAAgAh07iQN3qQkDQAQAAkAMAAA4AAAAAAAAAAQAg&#10;AAAAKAEAAGRycy9lMm9Eb2MueG1sUEsFBgAAAAAGAAYAWQEAAGoFAAAAAA==&#10;">
                <v:fill on="f" focussize="0,0"/>
                <v:stroke color="#000000" joinstyle="round"/>
                <v:imagedata o:title=""/>
                <o:lock v:ext="edit" aspectratio="f"/>
              </v:line>
            </w:pict>
          </mc:Fallback>
        </mc:AlternateContent>
      </w:r>
      <w:r>
        <w:t xml:space="preserve">  </w:t>
      </w:r>
      <w:r>
        <w:rPr>
          <w:rFonts w:hint="eastAsia" w:ascii="宋体" w:hAnsi="宋体" w:eastAsia="宋体" w:cs="宋体"/>
          <w:sz w:val="28"/>
          <w:szCs w:val="28"/>
        </w:rPr>
        <w:t>FH/HBYA01-201</w:t>
      </w:r>
      <w:r>
        <w:rPr>
          <w:rFonts w:hint="eastAsia" w:ascii="宋体" w:hAnsi="宋体" w:eastAsia="宋体" w:cs="宋体"/>
          <w:sz w:val="28"/>
          <w:szCs w:val="28"/>
          <w:lang w:val="en-US" w:eastAsia="zh-CN"/>
        </w:rPr>
        <w:t>6</w:t>
      </w:r>
    </w:p>
    <w:p>
      <w:pPr>
        <w:rPr>
          <w:rFonts w:eastAsia="楷体_GB2312"/>
          <w:sz w:val="52"/>
        </w:rPr>
      </w:pPr>
    </w:p>
    <w:p>
      <w:pPr>
        <w:spacing w:line="1000" w:lineRule="exact"/>
        <w:jc w:val="center"/>
        <w:rPr>
          <w:rFonts w:eastAsia="楷体_GB2312"/>
          <w:b/>
          <w:bCs/>
          <w:sz w:val="60"/>
          <w:szCs w:val="60"/>
        </w:rPr>
      </w:pPr>
      <w:r>
        <w:rPr>
          <w:rFonts w:eastAsia="楷体_GB2312"/>
          <w:b/>
          <w:bCs/>
          <w:sz w:val="60"/>
          <w:szCs w:val="60"/>
        </w:rPr>
        <w:t>陕西富化化工有限责任公司</w:t>
      </w:r>
    </w:p>
    <w:p>
      <w:pPr>
        <w:spacing w:line="1000" w:lineRule="exact"/>
        <w:jc w:val="center"/>
        <w:rPr>
          <w:rFonts w:eastAsia="楷体_GB2312"/>
          <w:b/>
          <w:bCs/>
          <w:sz w:val="60"/>
          <w:szCs w:val="60"/>
        </w:rPr>
      </w:pPr>
      <w:r>
        <w:rPr>
          <w:rFonts w:eastAsia="楷体_GB2312"/>
          <w:b/>
          <w:bCs/>
          <w:sz w:val="60"/>
          <w:szCs w:val="60"/>
        </w:rPr>
        <w:t>突发环境事件应急预案</w:t>
      </w:r>
    </w:p>
    <w:p>
      <w:pPr>
        <w:spacing w:line="360" w:lineRule="auto"/>
        <w:jc w:val="center"/>
        <w:rPr>
          <w:rFonts w:eastAsia="黑体"/>
          <w:bCs/>
        </w:rPr>
      </w:pPr>
    </w:p>
    <w:p>
      <w:pPr>
        <w:rPr>
          <w:rFonts w:eastAsia="楷体_GB2312"/>
          <w:b/>
          <w:bCs/>
          <w:sz w:val="72"/>
        </w:rPr>
      </w:pPr>
    </w:p>
    <w:p>
      <w:pPr>
        <w:jc w:val="center"/>
        <w:rPr>
          <w:rFonts w:hint="eastAsia" w:eastAsia="楷体_GB2312"/>
          <w:b/>
          <w:bCs/>
          <w:sz w:val="72"/>
        </w:rPr>
      </w:pPr>
      <w:r>
        <w:rPr>
          <w:rFonts w:ascii="Calibri" w:hAnsi="Calibri" w:eastAsia="黑体" w:cs="黑体"/>
          <w:bCs/>
          <w:kern w:val="2"/>
          <w:sz w:val="21"/>
          <w:szCs w:val="24"/>
          <w:lang w:val="en-US" w:eastAsia="zh-CN" w:bidi="ar-SA"/>
        </w:rPr>
        <w:drawing>
          <wp:inline distT="0" distB="0" distL="114300" distR="114300">
            <wp:extent cx="2246630" cy="1865630"/>
            <wp:effectExtent l="0" t="0" r="1270" b="127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7">
                      <a:lum bright="6000"/>
                    </a:blip>
                    <a:stretch>
                      <a:fillRect/>
                    </a:stretch>
                  </pic:blipFill>
                  <pic:spPr>
                    <a:xfrm>
                      <a:off x="0" y="0"/>
                      <a:ext cx="2246630" cy="1865630"/>
                    </a:xfrm>
                    <a:prstGeom prst="rect">
                      <a:avLst/>
                    </a:prstGeom>
                    <a:noFill/>
                    <a:ln w="9525">
                      <a:noFill/>
                    </a:ln>
                  </pic:spPr>
                </pic:pic>
              </a:graphicData>
            </a:graphic>
          </wp:inline>
        </w:drawing>
      </w:r>
    </w:p>
    <w:p>
      <w:pPr>
        <w:spacing w:line="360" w:lineRule="auto"/>
        <w:jc w:val="center"/>
        <w:rPr>
          <w:rFonts w:hint="eastAsia" w:eastAsia="黑体"/>
          <w:bCs/>
        </w:rPr>
      </w:pPr>
    </w:p>
    <w:p>
      <w:pPr>
        <w:spacing w:line="360" w:lineRule="auto"/>
        <w:jc w:val="center"/>
        <w:rPr>
          <w:rFonts w:hint="eastAsia" w:eastAsia="黑体"/>
          <w:bCs/>
        </w:rPr>
      </w:pPr>
    </w:p>
    <w:p>
      <w:pPr>
        <w:spacing w:beforeLines="50" w:afterLines="50" w:line="520" w:lineRule="exact"/>
        <w:ind w:firstLine="2080" w:firstLineChars="6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    址：富平县</w:t>
      </w:r>
      <w:r>
        <w:rPr>
          <w:rFonts w:hint="eastAsia" w:ascii="仿宋_GB2312" w:hAnsi="仿宋_GB2312" w:eastAsia="仿宋_GB2312" w:cs="仿宋_GB2312"/>
          <w:sz w:val="32"/>
          <w:szCs w:val="32"/>
          <w:lang w:eastAsia="zh-CN"/>
        </w:rPr>
        <w:t>庄里工业园区工业二路东</w:t>
      </w:r>
    </w:p>
    <w:p>
      <w:pPr>
        <w:spacing w:beforeLines="50" w:afterLines="50" w:line="520" w:lineRule="exact"/>
        <w:ind w:firstLine="2080" w:firstLineChars="6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电    话：0913-2267928  </w:t>
      </w:r>
    </w:p>
    <w:p>
      <w:pPr>
        <w:spacing w:beforeLines="50" w:afterLines="50" w:line="520" w:lineRule="exact"/>
        <w:ind w:firstLine="2080" w:firstLineChars="6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传    真：0913-</w:t>
      </w:r>
      <w:r>
        <w:rPr>
          <w:rFonts w:hint="eastAsia" w:ascii="仿宋_GB2312" w:hAnsi="仿宋_GB2312" w:eastAsia="仿宋_GB2312" w:cs="仿宋_GB2312"/>
          <w:sz w:val="32"/>
          <w:szCs w:val="32"/>
          <w:lang w:val="en-US" w:eastAsia="zh-CN"/>
        </w:rPr>
        <w:t>2263599</w:t>
      </w:r>
    </w:p>
    <w:p>
      <w:pPr>
        <w:spacing w:beforeLines="50" w:afterLines="50" w:line="520" w:lineRule="exact"/>
        <w:ind w:firstLine="2080" w:firstLineChars="6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编：711700</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电子邮箱：sales</w:t>
      </w:r>
      <w:r>
        <w:rPr>
          <w:rFonts w:hint="eastAsia" w:ascii="宋体" w:hAnsi="宋体" w:eastAsia="宋体" w:cs="宋体"/>
          <w:sz w:val="32"/>
          <w:szCs w:val="32"/>
        </w:rPr>
        <w:t>＠</w:t>
      </w:r>
      <w:r>
        <w:rPr>
          <w:rFonts w:hint="eastAsia" w:ascii="仿宋_GB2312" w:hAnsi="仿宋_GB2312" w:eastAsia="仿宋_GB2312" w:cs="仿宋_GB2312"/>
          <w:sz w:val="32"/>
          <w:szCs w:val="32"/>
        </w:rPr>
        <w:t>fuhua-chem.com</w:t>
      </w:r>
    </w:p>
    <w:p>
      <w:pPr>
        <w:rPr>
          <w:sz w:val="32"/>
          <w:szCs w:val="32"/>
        </w:rPr>
      </w:pPr>
    </w:p>
    <w:p>
      <w:pPr>
        <w:tabs>
          <w:tab w:val="left" w:pos="6685"/>
        </w:tabs>
        <w:ind w:firstLine="2625" w:firstLineChars="1250"/>
      </w:pPr>
    </w:p>
    <w:p>
      <w:pPr>
        <w:tabs>
          <w:tab w:val="left" w:pos="6685"/>
        </w:tabs>
        <w:ind w:firstLine="2625" w:firstLineChars="1250"/>
      </w:pPr>
      <w:r>
        <w:tab/>
      </w:r>
    </w:p>
    <w:p>
      <w:pPr>
        <w:jc w:val="distribute"/>
        <w:rPr>
          <w:rFonts w:hint="eastAsia" w:ascii="宋体" w:hAnsi="宋体" w:eastAsia="宋体" w:cs="宋体"/>
          <w:sz w:val="28"/>
          <w:szCs w:val="28"/>
        </w:rPr>
      </w:pPr>
      <w:r>
        <w:rPr>
          <w:rFonts w:hint="eastAsia" w:ascii="宋体" w:hAnsi="宋体" w:eastAsia="宋体" w:cs="宋体"/>
          <w:sz w:val="28"/>
          <w:szCs w:val="28"/>
        </w:rPr>
        <w:t>发布日期：201</w:t>
      </w:r>
      <w:r>
        <w:rPr>
          <w:rFonts w:hint="eastAsia" w:ascii="宋体" w:hAnsi="宋体" w:eastAsia="宋体" w:cs="宋体"/>
          <w:sz w:val="28"/>
          <w:szCs w:val="28"/>
          <w:lang w:val="en-US" w:eastAsia="zh-CN"/>
        </w:rPr>
        <w:t>6</w:t>
      </w:r>
      <w:r>
        <w:rPr>
          <w:rFonts w:hint="eastAsia" w:ascii="宋体" w:hAnsi="宋体" w:eastAsia="宋体" w:cs="宋体"/>
          <w:sz w:val="28"/>
          <w:szCs w:val="28"/>
        </w:rPr>
        <w:t>年</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2</w:t>
      </w:r>
      <w:r>
        <w:rPr>
          <w:rFonts w:hint="eastAsia" w:ascii="宋体" w:hAnsi="宋体" w:eastAsia="宋体" w:cs="宋体"/>
          <w:sz w:val="28"/>
          <w:szCs w:val="28"/>
        </w:rPr>
        <w:t>月</w:t>
      </w:r>
      <w:r>
        <w:rPr>
          <w:rFonts w:hint="eastAsia" w:ascii="宋体" w:hAnsi="宋体" w:cs="宋体"/>
          <w:sz w:val="28"/>
          <w:szCs w:val="28"/>
          <w:lang w:val="en-US" w:eastAsia="zh-CN"/>
        </w:rPr>
        <w:t>2</w:t>
      </w:r>
      <w:r>
        <w:rPr>
          <w:rFonts w:hint="eastAsia" w:ascii="宋体" w:hAnsi="宋体" w:eastAsia="宋体" w:cs="宋体"/>
          <w:sz w:val="28"/>
          <w:szCs w:val="28"/>
          <w:lang w:val="en-US" w:eastAsia="zh-CN"/>
        </w:rPr>
        <w:t>8</w:t>
      </w:r>
      <w:r>
        <w:rPr>
          <w:rFonts w:hint="eastAsia" w:ascii="宋体" w:hAnsi="宋体" w:eastAsia="宋体" w:cs="宋体"/>
          <w:sz w:val="28"/>
          <w:szCs w:val="28"/>
        </w:rPr>
        <w:t>日</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实施日期：201</w:t>
      </w:r>
      <w:r>
        <w:rPr>
          <w:rFonts w:hint="eastAsia" w:ascii="宋体" w:hAnsi="宋体" w:cs="宋体"/>
          <w:sz w:val="28"/>
          <w:szCs w:val="28"/>
          <w:lang w:val="en-US" w:eastAsia="zh-CN"/>
        </w:rPr>
        <w:t>7</w:t>
      </w:r>
      <w:r>
        <w:rPr>
          <w:rFonts w:hint="eastAsia" w:ascii="宋体" w:hAnsi="宋体" w:eastAsia="宋体" w:cs="宋体"/>
          <w:sz w:val="28"/>
          <w:szCs w:val="28"/>
        </w:rPr>
        <w:t>年</w:t>
      </w:r>
      <w:r>
        <w:rPr>
          <w:rFonts w:hint="eastAsia" w:ascii="宋体" w:hAnsi="宋体" w:cs="宋体"/>
          <w:sz w:val="28"/>
          <w:szCs w:val="28"/>
          <w:lang w:val="en-US" w:eastAsia="zh-CN"/>
        </w:rPr>
        <w:t>1</w:t>
      </w:r>
      <w:r>
        <w:rPr>
          <w:rFonts w:hint="eastAsia" w:ascii="宋体" w:hAnsi="宋体" w:eastAsia="宋体" w:cs="宋体"/>
          <w:sz w:val="28"/>
          <w:szCs w:val="28"/>
        </w:rPr>
        <w:t>月</w:t>
      </w:r>
      <w:r>
        <w:rPr>
          <w:rFonts w:hint="eastAsia" w:ascii="宋体" w:hAnsi="宋体" w:cs="宋体"/>
          <w:sz w:val="28"/>
          <w:szCs w:val="28"/>
          <w:lang w:val="en-US" w:eastAsia="zh-CN"/>
        </w:rPr>
        <w:t>1</w:t>
      </w:r>
      <w:r>
        <w:rPr>
          <w:rFonts w:hint="eastAsia" w:ascii="宋体" w:hAnsi="宋体" w:eastAsia="宋体" w:cs="宋体"/>
          <w:sz w:val="28"/>
          <w:szCs w:val="28"/>
        </w:rPr>
        <w:t>日</w:t>
      </w:r>
    </w:p>
    <w:p>
      <w:pPr>
        <w:jc w:val="right"/>
      </w:pPr>
      <w:r>
        <w:t xml:space="preserve"> </w:t>
      </w:r>
    </w:p>
    <w:p>
      <w:pPr>
        <w:jc w:val="left"/>
        <w:rPr>
          <w:rFonts w:hint="eastAsia" w:ascii="宋体" w:hAnsi="宋体" w:eastAsia="宋体" w:cs="宋体"/>
          <w:sz w:val="28"/>
          <w:szCs w:val="28"/>
          <w:lang w:val="en-US"/>
        </w:rPr>
      </w:pPr>
      <w:r>
        <w:t xml:space="preserve"> </w:t>
      </w:r>
      <w:r>
        <w:rPr>
          <w:rFonts w:hint="eastAsia" w:ascii="宋体" w:hAnsi="宋体" w:eastAsia="宋体" w:cs="宋体"/>
          <w:sz w:val="28"/>
          <w:szCs w:val="28"/>
        </w:rPr>
        <w:t>FH/HBYA01-201</w:t>
      </w:r>
      <w:r>
        <w:rPr>
          <w:rFonts w:hint="eastAsia" w:ascii="宋体" w:hAnsi="宋体" w:eastAsia="宋体" w:cs="宋体"/>
          <w:sz w:val="28"/>
          <w:szCs w:val="28"/>
          <w:lang w:val="en-US" w:eastAsia="zh-CN"/>
        </w:rPr>
        <w:t>6</w:t>
      </w:r>
    </w:p>
    <w:p>
      <w:pPr>
        <w:rPr>
          <w:rFonts w:eastAsia="楷体_GB2312"/>
          <w:sz w:val="52"/>
        </w:rPr>
      </w:pPr>
    </w:p>
    <w:p>
      <w:pPr>
        <w:spacing w:line="1000" w:lineRule="exact"/>
        <w:jc w:val="center"/>
        <w:rPr>
          <w:rFonts w:eastAsia="楷体_GB2312"/>
          <w:b/>
          <w:bCs/>
          <w:sz w:val="60"/>
          <w:szCs w:val="60"/>
        </w:rPr>
      </w:pPr>
      <w:r>
        <w:rPr>
          <w:rFonts w:eastAsia="楷体_GB2312"/>
          <w:b/>
          <w:bCs/>
          <w:sz w:val="60"/>
          <w:szCs w:val="60"/>
        </w:rPr>
        <w:t>陕西富化化工有限责任公司</w:t>
      </w:r>
    </w:p>
    <w:p>
      <w:pPr>
        <w:spacing w:line="1000" w:lineRule="exact"/>
        <w:jc w:val="center"/>
        <w:rPr>
          <w:rFonts w:eastAsia="楷体_GB2312"/>
          <w:b/>
          <w:bCs/>
          <w:sz w:val="60"/>
          <w:szCs w:val="60"/>
        </w:rPr>
      </w:pPr>
      <w:r>
        <w:rPr>
          <w:rFonts w:eastAsia="楷体_GB2312"/>
          <w:b/>
          <w:bCs/>
          <w:sz w:val="60"/>
          <w:szCs w:val="60"/>
        </w:rPr>
        <w:t>突发环境事件应急预案</w:t>
      </w:r>
    </w:p>
    <w:p>
      <w:pPr>
        <w:spacing w:line="360" w:lineRule="auto"/>
        <w:jc w:val="center"/>
        <w:rPr>
          <w:rFonts w:eastAsia="黑体"/>
          <w:bCs/>
        </w:rPr>
      </w:pPr>
    </w:p>
    <w:p>
      <w:pPr>
        <w:rPr>
          <w:rFonts w:eastAsia="楷体_GB2312"/>
          <w:b/>
          <w:bCs/>
          <w:sz w:val="72"/>
        </w:rPr>
      </w:pPr>
    </w:p>
    <w:p>
      <w:pPr>
        <w:jc w:val="center"/>
        <w:rPr>
          <w:rFonts w:hint="eastAsia" w:eastAsia="楷体_GB2312"/>
          <w:b/>
          <w:bCs/>
          <w:sz w:val="72"/>
        </w:rPr>
      </w:pPr>
      <w:r>
        <w:rPr>
          <w:rFonts w:ascii="Calibri" w:hAnsi="Calibri" w:eastAsia="黑体" w:cs="黑体"/>
          <w:bCs/>
          <w:kern w:val="2"/>
          <w:sz w:val="21"/>
          <w:szCs w:val="24"/>
          <w:lang w:val="en-US" w:eastAsia="zh-CN" w:bidi="ar-SA"/>
        </w:rPr>
        <w:drawing>
          <wp:inline distT="0" distB="0" distL="114300" distR="114300">
            <wp:extent cx="2246630" cy="1865630"/>
            <wp:effectExtent l="0" t="0" r="1270" b="12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7">
                      <a:lum bright="6000"/>
                    </a:blip>
                    <a:stretch>
                      <a:fillRect/>
                    </a:stretch>
                  </pic:blipFill>
                  <pic:spPr>
                    <a:xfrm>
                      <a:off x="0" y="0"/>
                      <a:ext cx="2246630" cy="1865630"/>
                    </a:xfrm>
                    <a:prstGeom prst="rect">
                      <a:avLst/>
                    </a:prstGeom>
                    <a:noFill/>
                    <a:ln w="9525">
                      <a:noFill/>
                    </a:ln>
                  </pic:spPr>
                </pic:pic>
              </a:graphicData>
            </a:graphic>
          </wp:inline>
        </w:drawing>
      </w:r>
    </w:p>
    <w:p>
      <w:pPr>
        <w:spacing w:line="360" w:lineRule="auto"/>
        <w:jc w:val="center"/>
        <w:rPr>
          <w:rFonts w:hint="eastAsia" w:eastAsia="黑体"/>
          <w:bCs/>
        </w:rPr>
      </w:pPr>
    </w:p>
    <w:p>
      <w:pPr>
        <w:spacing w:line="720" w:lineRule="auto"/>
        <w:ind w:firstLine="1798" w:firstLineChars="562"/>
        <w:rPr>
          <w:rFonts w:hint="eastAsia"/>
          <w:sz w:val="32"/>
          <w:szCs w:val="32"/>
        </w:rPr>
      </w:pPr>
      <w:r>
        <w:rPr>
          <w:rFonts w:hint="eastAsia"/>
          <w:sz w:val="32"/>
          <w:szCs w:val="32"/>
        </w:rPr>
        <w:t>编 制 人：</w:t>
      </w:r>
    </w:p>
    <w:p>
      <w:pPr>
        <w:spacing w:line="720" w:lineRule="auto"/>
        <w:ind w:firstLine="1798" w:firstLineChars="562"/>
        <w:rPr>
          <w:rFonts w:hint="eastAsia"/>
          <w:sz w:val="32"/>
          <w:szCs w:val="32"/>
        </w:rPr>
      </w:pPr>
      <w:r>
        <w:rPr>
          <w:rFonts w:hint="eastAsia"/>
          <w:sz w:val="32"/>
          <w:szCs w:val="32"/>
        </w:rPr>
        <w:t xml:space="preserve">审 核 人：  </w:t>
      </w:r>
    </w:p>
    <w:p>
      <w:pPr>
        <w:spacing w:line="720" w:lineRule="auto"/>
        <w:ind w:firstLine="1798" w:firstLineChars="562"/>
        <w:rPr>
          <w:rFonts w:hint="eastAsia"/>
          <w:sz w:val="32"/>
          <w:szCs w:val="32"/>
        </w:rPr>
      </w:pPr>
      <w:r>
        <w:rPr>
          <w:rFonts w:hint="eastAsia"/>
          <w:sz w:val="32"/>
          <w:szCs w:val="32"/>
        </w:rPr>
        <w:t>批 准 人：</w:t>
      </w:r>
    </w:p>
    <w:p>
      <w:pPr>
        <w:spacing w:line="360" w:lineRule="auto"/>
        <w:jc w:val="center"/>
        <w:rPr>
          <w:rFonts w:hint="eastAsia" w:eastAsia="黑体"/>
          <w:bCs/>
        </w:rPr>
      </w:pPr>
    </w:p>
    <w:p>
      <w:pPr>
        <w:tabs>
          <w:tab w:val="left" w:pos="6685"/>
        </w:tabs>
        <w:spacing w:line="400" w:lineRule="exact"/>
        <w:ind w:firstLine="2625" w:firstLineChars="1250"/>
        <w:rPr>
          <w:rFonts w:hint="eastAsia" w:ascii="宋体" w:hAnsi="宋体"/>
        </w:rPr>
      </w:pPr>
    </w:p>
    <w:p>
      <w:pPr>
        <w:jc w:val="distribute"/>
        <w:rPr>
          <w:rFonts w:hint="eastAsia" w:ascii="新宋体" w:hAnsi="新宋体" w:eastAsia="新宋体" w:cs="新宋体"/>
          <w:sz w:val="28"/>
          <w:szCs w:val="28"/>
        </w:rPr>
      </w:pPr>
      <w:r>
        <w:rPr>
          <w:rFonts w:hint="eastAsia" w:ascii="新宋体" w:hAnsi="新宋体" w:eastAsia="新宋体" w:cs="新宋体"/>
          <w:sz w:val="28"/>
          <w:szCs w:val="28"/>
        </w:rPr>
        <w:t>发布日期：201</w:t>
      </w:r>
      <w:r>
        <w:rPr>
          <w:rFonts w:hint="eastAsia" w:ascii="新宋体" w:hAnsi="新宋体" w:eastAsia="新宋体" w:cs="新宋体"/>
          <w:sz w:val="28"/>
          <w:szCs w:val="28"/>
          <w:lang w:val="en-US" w:eastAsia="zh-CN"/>
        </w:rPr>
        <w:t>6</w:t>
      </w:r>
      <w:r>
        <w:rPr>
          <w:rFonts w:hint="eastAsia" w:ascii="新宋体" w:hAnsi="新宋体" w:eastAsia="新宋体" w:cs="新宋体"/>
          <w:sz w:val="28"/>
          <w:szCs w:val="28"/>
        </w:rPr>
        <w:t>年</w:t>
      </w:r>
      <w:r>
        <w:rPr>
          <w:rFonts w:hint="eastAsia" w:ascii="新宋体" w:hAnsi="新宋体" w:eastAsia="新宋体" w:cs="新宋体"/>
          <w:sz w:val="28"/>
          <w:szCs w:val="28"/>
          <w:lang w:val="en-US" w:eastAsia="zh-CN"/>
        </w:rPr>
        <w:t>12</w:t>
      </w:r>
      <w:r>
        <w:rPr>
          <w:rFonts w:hint="eastAsia" w:ascii="新宋体" w:hAnsi="新宋体" w:eastAsia="新宋体" w:cs="新宋体"/>
          <w:sz w:val="28"/>
          <w:szCs w:val="28"/>
        </w:rPr>
        <w:t>月</w:t>
      </w:r>
      <w:r>
        <w:rPr>
          <w:rFonts w:hint="eastAsia" w:ascii="新宋体" w:hAnsi="新宋体" w:eastAsia="新宋体" w:cs="新宋体"/>
          <w:sz w:val="28"/>
          <w:szCs w:val="28"/>
          <w:lang w:val="en-US" w:eastAsia="zh-CN"/>
        </w:rPr>
        <w:t>2</w:t>
      </w:r>
      <w:r>
        <w:rPr>
          <w:rFonts w:hint="eastAsia" w:ascii="新宋体" w:hAnsi="新宋体" w:eastAsia="新宋体" w:cs="新宋体"/>
          <w:sz w:val="28"/>
          <w:szCs w:val="28"/>
        </w:rPr>
        <w:t>8日    实施日期：201</w:t>
      </w:r>
      <w:r>
        <w:rPr>
          <w:rFonts w:hint="eastAsia" w:ascii="新宋体" w:hAnsi="新宋体" w:eastAsia="新宋体" w:cs="新宋体"/>
          <w:sz w:val="28"/>
          <w:szCs w:val="28"/>
          <w:lang w:val="en-US" w:eastAsia="zh-CN"/>
        </w:rPr>
        <w:t>7</w:t>
      </w:r>
      <w:r>
        <w:rPr>
          <w:rFonts w:hint="eastAsia" w:ascii="新宋体" w:hAnsi="新宋体" w:eastAsia="新宋体" w:cs="新宋体"/>
          <w:sz w:val="28"/>
          <w:szCs w:val="28"/>
        </w:rPr>
        <w:t>年</w:t>
      </w:r>
      <w:r>
        <w:rPr>
          <w:rFonts w:hint="eastAsia" w:ascii="新宋体" w:hAnsi="新宋体" w:eastAsia="新宋体" w:cs="新宋体"/>
          <w:sz w:val="28"/>
          <w:szCs w:val="28"/>
          <w:lang w:val="en-US" w:eastAsia="zh-CN"/>
        </w:rPr>
        <w:t>1</w:t>
      </w:r>
      <w:r>
        <w:rPr>
          <w:rFonts w:hint="eastAsia" w:ascii="新宋体" w:hAnsi="新宋体" w:eastAsia="新宋体" w:cs="新宋体"/>
          <w:sz w:val="28"/>
          <w:szCs w:val="28"/>
        </w:rPr>
        <w:t>月</w:t>
      </w:r>
      <w:r>
        <w:rPr>
          <w:rFonts w:hint="eastAsia" w:ascii="新宋体" w:hAnsi="新宋体" w:eastAsia="新宋体" w:cs="新宋体"/>
          <w:sz w:val="28"/>
          <w:szCs w:val="28"/>
          <w:lang w:val="en-US" w:eastAsia="zh-CN"/>
        </w:rPr>
        <w:t>1</w:t>
      </w:r>
      <w:r>
        <w:rPr>
          <w:rFonts w:hint="eastAsia" w:ascii="新宋体" w:hAnsi="新宋体" w:eastAsia="新宋体" w:cs="新宋体"/>
          <w:sz w:val="28"/>
          <w:szCs w:val="28"/>
        </w:rPr>
        <w:t>日</w:t>
      </w:r>
    </w:p>
    <w:p>
      <w:pPr>
        <w:spacing w:beforeLines="100" w:afterLines="100"/>
        <w:jc w:val="center"/>
        <w:rPr>
          <w:rFonts w:hint="eastAsia" w:ascii="黑体" w:eastAsia="黑体"/>
          <w:sz w:val="52"/>
          <w:szCs w:val="52"/>
          <w:lang w:eastAsia="zh-CN"/>
        </w:rPr>
      </w:pPr>
      <w:r>
        <w:rPr>
          <w:rFonts w:hint="eastAsia" w:ascii="黑体" w:eastAsia="黑体"/>
          <w:sz w:val="52"/>
          <w:szCs w:val="52"/>
          <w:lang w:eastAsia="zh-CN"/>
        </w:rPr>
        <w:t>批</w:t>
      </w:r>
      <w:r>
        <w:rPr>
          <w:rFonts w:hint="eastAsia" w:ascii="黑体" w:eastAsia="黑体"/>
          <w:sz w:val="52"/>
          <w:szCs w:val="52"/>
          <w:lang w:val="en-US" w:eastAsia="zh-CN"/>
        </w:rPr>
        <w:t xml:space="preserve">  </w:t>
      </w:r>
      <w:r>
        <w:rPr>
          <w:rFonts w:hint="eastAsia" w:ascii="黑体" w:eastAsia="黑体"/>
          <w:sz w:val="52"/>
          <w:szCs w:val="52"/>
          <w:lang w:eastAsia="zh-CN"/>
        </w:rPr>
        <w:t>准</w:t>
      </w:r>
      <w:r>
        <w:rPr>
          <w:rFonts w:hint="eastAsia" w:ascii="黑体" w:eastAsia="黑体"/>
          <w:sz w:val="52"/>
          <w:szCs w:val="52"/>
          <w:lang w:val="en-US" w:eastAsia="zh-CN"/>
        </w:rPr>
        <w:t xml:space="preserve">  </w:t>
      </w:r>
      <w:r>
        <w:rPr>
          <w:rFonts w:hint="eastAsia" w:ascii="黑体" w:eastAsia="黑体"/>
          <w:sz w:val="52"/>
          <w:szCs w:val="52"/>
          <w:lang w:eastAsia="zh-CN"/>
        </w:rPr>
        <w:t>页</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各车间、科室：</w:t>
      </w:r>
    </w:p>
    <w:p>
      <w:pPr>
        <w:spacing w:line="360" w:lineRule="auto"/>
        <w:ind w:firstLine="630" w:firstLineChars="225"/>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为了提高公司及各车间（科室）、各岗位对突发性环境事件的处理能力，</w:t>
      </w:r>
      <w:r>
        <w:rPr>
          <w:rFonts w:hint="eastAsia" w:ascii="仿宋_GB2312" w:hAnsi="仿宋_GB2312" w:eastAsia="仿宋_GB2312" w:cs="仿宋_GB2312"/>
          <w:sz w:val="28"/>
          <w:szCs w:val="28"/>
          <w:lang w:eastAsia="zh-CN"/>
        </w:rPr>
        <w:t>规范各类突发环境事件的处置程序和处置办法，</w:t>
      </w:r>
      <w:r>
        <w:rPr>
          <w:rFonts w:hint="eastAsia" w:ascii="仿宋_GB2312" w:hAnsi="仿宋_GB2312" w:eastAsia="仿宋_GB2312" w:cs="仿宋_GB2312"/>
          <w:sz w:val="28"/>
          <w:szCs w:val="28"/>
        </w:rPr>
        <w:t>在</w:t>
      </w:r>
      <w:r>
        <w:rPr>
          <w:rFonts w:hint="eastAsia" w:ascii="仿宋_GB2312" w:hAnsi="仿宋_GB2312" w:eastAsia="仿宋_GB2312" w:cs="仿宋_GB2312"/>
          <w:sz w:val="28"/>
          <w:szCs w:val="28"/>
          <w:lang w:eastAsia="zh-CN"/>
        </w:rPr>
        <w:t>突发环境</w:t>
      </w:r>
      <w:r>
        <w:rPr>
          <w:rFonts w:hint="eastAsia" w:ascii="仿宋_GB2312" w:hAnsi="仿宋_GB2312" w:eastAsia="仿宋_GB2312" w:cs="仿宋_GB2312"/>
          <w:sz w:val="28"/>
          <w:szCs w:val="28"/>
        </w:rPr>
        <w:t>事件发生时，能够迅速有效组织实施抢险救援工作，防止事件扩大，最大限度地降低对环境的影响</w:t>
      </w:r>
      <w:r>
        <w:rPr>
          <w:rFonts w:hint="eastAsia" w:ascii="仿宋_GB2312" w:hAnsi="仿宋_GB2312" w:eastAsia="仿宋_GB2312" w:cs="仿宋_GB2312"/>
          <w:sz w:val="28"/>
          <w:szCs w:val="28"/>
          <w:lang w:eastAsia="zh-CN"/>
        </w:rPr>
        <w:t>。</w:t>
      </w:r>
    </w:p>
    <w:p>
      <w:pPr>
        <w:spacing w:line="360" w:lineRule="auto"/>
        <w:ind w:firstLine="630" w:firstLineChars="225"/>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根据《中华人民共和国环境保护法》、《环保部突发环境事件应急管理暂行办法》和《陕西省突发环境事件应急管理暂行办法》等相关要求，</w:t>
      </w:r>
      <w:r>
        <w:rPr>
          <w:rFonts w:hint="eastAsia" w:ascii="仿宋_GB2312" w:hAnsi="仿宋_GB2312" w:eastAsia="仿宋_GB2312" w:cs="仿宋_GB2312"/>
          <w:sz w:val="28"/>
          <w:szCs w:val="28"/>
          <w:lang w:eastAsia="zh-CN"/>
        </w:rPr>
        <w:t>并</w:t>
      </w:r>
      <w:r>
        <w:rPr>
          <w:rFonts w:hint="eastAsia" w:ascii="仿宋_GB2312" w:hAnsi="仿宋_GB2312" w:eastAsia="仿宋_GB2312" w:cs="仿宋_GB2312"/>
          <w:sz w:val="28"/>
          <w:szCs w:val="28"/>
        </w:rPr>
        <w:t>结合公司的生产实际情况，</w:t>
      </w:r>
      <w:r>
        <w:rPr>
          <w:rFonts w:hint="eastAsia" w:ascii="仿宋_GB2312" w:hAnsi="仿宋_GB2312" w:eastAsia="仿宋_GB2312" w:cs="仿宋_GB2312"/>
          <w:sz w:val="28"/>
          <w:szCs w:val="28"/>
          <w:lang w:eastAsia="zh-CN"/>
        </w:rPr>
        <w:t>我公司编制了</w:t>
      </w:r>
      <w:r>
        <w:rPr>
          <w:rFonts w:hint="eastAsia" w:ascii="仿宋_GB2312" w:hAnsi="仿宋_GB2312" w:eastAsia="仿宋_GB2312" w:cs="仿宋_GB2312"/>
          <w:sz w:val="28"/>
          <w:szCs w:val="28"/>
        </w:rPr>
        <w:t>《陕西富化化工有限责任公司突发环境事件应急预案》</w:t>
      </w:r>
      <w:r>
        <w:rPr>
          <w:rFonts w:hint="eastAsia" w:ascii="仿宋_GB2312" w:hAnsi="仿宋_GB2312" w:eastAsia="仿宋_GB2312" w:cs="仿宋_GB2312"/>
          <w:sz w:val="28"/>
          <w:szCs w:val="28"/>
          <w:lang w:eastAsia="zh-CN"/>
        </w:rPr>
        <w:t>。该预案将公司突发环境事件分为：①重大（Ⅰ级）环境事件；②一般（Ⅱ级）环境事件；③较小（Ⅲ级）环境事件三级，主要包括：硫化钠稀溶液储罐泄漏引起的环境突发事件、浓硫酸储罐泄漏引发的突发环境事件、硫化钡溶液储罐泄漏引发的突发环境事件、工业硫化钠产品遇热燃烧或爆炸引起的突发环境事件以及锅炉和转炉事故引发的突发环境事件等五大方面。我公司突发环境事件应急预案分别按照五类事件的严重程度、产生的后果等方面制定了相应的应急相应和处置措施。</w:t>
      </w:r>
    </w:p>
    <w:p>
      <w:pPr>
        <w:spacing w:line="360" w:lineRule="auto"/>
        <w:ind w:firstLine="630" w:firstLineChars="225"/>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该预案已通过专家评审，并在富平县环境保护局备案，现批准实施。</w:t>
      </w:r>
      <w:r>
        <w:rPr>
          <w:rFonts w:hint="eastAsia" w:ascii="仿宋_GB2312" w:hAnsi="仿宋_GB2312" w:eastAsia="仿宋_GB2312" w:cs="仿宋_GB2312"/>
          <w:sz w:val="28"/>
          <w:szCs w:val="28"/>
        </w:rPr>
        <w:t>希望各部门认真组织各岗位人员学习，并贯彻落实执行。</w:t>
      </w:r>
    </w:p>
    <w:p>
      <w:pPr>
        <w:spacing w:line="360" w:lineRule="auto"/>
        <w:ind w:firstLine="630" w:firstLineChars="225"/>
        <w:rPr>
          <w:rFonts w:hint="eastAsia" w:ascii="仿宋_GB2312" w:hAnsi="仿宋_GB2312" w:eastAsia="仿宋_GB2312" w:cs="仿宋_GB2312"/>
          <w:sz w:val="28"/>
          <w:szCs w:val="28"/>
        </w:rPr>
      </w:pPr>
    </w:p>
    <w:p>
      <w:pPr>
        <w:spacing w:line="360" w:lineRule="auto"/>
        <w:ind w:firstLine="630" w:firstLineChars="225"/>
        <w:rPr>
          <w:rFonts w:hint="eastAsia" w:ascii="仿宋_GB2312" w:hAnsi="仿宋_GB2312" w:eastAsia="仿宋_GB2312" w:cs="仿宋_GB2312"/>
          <w:sz w:val="28"/>
          <w:szCs w:val="28"/>
        </w:rPr>
      </w:pPr>
    </w:p>
    <w:p>
      <w:pPr>
        <w:spacing w:line="480" w:lineRule="auto"/>
        <w:ind w:firstLine="4690" w:firstLineChars="167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批 准 人：</w:t>
      </w:r>
    </w:p>
    <w:p>
      <w:pPr>
        <w:spacing w:line="480" w:lineRule="auto"/>
        <w:ind w:firstLine="5250" w:firstLineChars="187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年   月   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rPr>
          <w:rFonts w:eastAsia="黑体"/>
          <w:bCs/>
          <w:sz w:val="44"/>
          <w:szCs w:val="44"/>
        </w:rPr>
      </w:pPr>
      <w:r>
        <w:rPr>
          <w:rFonts w:ascii="Calibri" w:hAnsi="Calibri" w:eastAsia="宋体" w:cs="黑体"/>
          <w:kern w:val="2"/>
          <w:sz w:val="21"/>
          <w:szCs w:val="24"/>
          <w:lang w:val="en-US" w:eastAsia="zh-CN" w:bidi="ar-SA"/>
        </w:rPr>
        <mc:AlternateContent>
          <mc:Choice Requires="wps">
            <w:drawing>
              <wp:anchor distT="0" distB="0" distL="114300" distR="114300" simplePos="0" relativeHeight="251677696" behindDoc="0" locked="0" layoutInCell="0" allowOverlap="1">
                <wp:simplePos x="0" y="0"/>
                <wp:positionH relativeFrom="column">
                  <wp:posOffset>-1257300</wp:posOffset>
                </wp:positionH>
                <wp:positionV relativeFrom="paragraph">
                  <wp:posOffset>198120</wp:posOffset>
                </wp:positionV>
                <wp:extent cx="635" cy="2080260"/>
                <wp:effectExtent l="4445" t="0" r="13970" b="15240"/>
                <wp:wrapNone/>
                <wp:docPr id="20" name="直线 3"/>
                <wp:cNvGraphicFramePr/>
                <a:graphic xmlns:a="http://schemas.openxmlformats.org/drawingml/2006/main">
                  <a:graphicData uri="http://schemas.microsoft.com/office/word/2010/wordprocessingShape">
                    <wps:wsp>
                      <wps:cNvSpPr/>
                      <wps:spPr>
                        <a:xfrm>
                          <a:off x="0" y="0"/>
                          <a:ext cx="635" cy="20802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99pt;margin-top:15.6pt;height:163.8pt;width:0.05pt;z-index:251677696;mso-width-relative:page;mso-height-relative:page;" filled="f" stroked="t" coordsize="21600,21600" o:allowincell="f" o:gfxdata="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60qBdkAAAAMAQAADwAAAAAAAAABACAAAAAi&#10;AAAAZHJzL2Rvd25yZXYueG1sUEsBAhQAFAAAAAgAh07iQJBeMlLQAQAAkAMAAA4AAAAAAAAAAQAg&#10;AAAAKAEAAGRycy9lMm9Eb2MueG1sUEsFBgAAAAAGAAYAWQEAAGoFAAAAAA==&#10;">
                <v:fill on="f" focussize="0,0"/>
                <v:stroke color="#000000" joinstyle="round"/>
                <v:imagedata o:title=""/>
                <o:lock v:ext="edit" aspectratio="f"/>
              </v:line>
            </w:pict>
          </mc:Fallback>
        </mc:AlternateContent>
      </w:r>
      <w:r>
        <w:rPr>
          <w:rFonts w:eastAsia="黑体"/>
          <w:bCs/>
          <w:sz w:val="44"/>
          <w:szCs w:val="44"/>
        </w:rPr>
        <w:t>目       录</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TOC \o "1-3" \h \u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_Toc22053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1．总则</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_Toc22053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_Toc21606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1.1编制目的</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_Toc21606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_Toc23708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1.2编制依据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_Toc23708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_Toc8884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1.3</w:t>
      </w:r>
      <w:r>
        <w:rPr>
          <w:rFonts w:hint="eastAsia" w:ascii="仿宋_GB2312" w:hAnsi="仿宋_GB2312" w:eastAsia="仿宋_GB2312" w:cs="仿宋_GB2312"/>
          <w:b w:val="0"/>
          <w:bCs w:val="0"/>
          <w:sz w:val="32"/>
          <w:szCs w:val="32"/>
          <w:lang w:val="en-US" w:eastAsia="zh-CN"/>
        </w:rPr>
        <w:t xml:space="preserve"> 国家《突发环境事件分级标准》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_Toc19209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kern w:val="2"/>
          <w:sz w:val="32"/>
          <w:szCs w:val="32"/>
          <w:lang w:val="en-US" w:eastAsia="zh-CN" w:bidi="ar-SA"/>
        </w:rPr>
        <w:t>1.3.1 公司突发环境</w:t>
      </w:r>
      <w:r>
        <w:rPr>
          <w:rFonts w:hint="eastAsia" w:ascii="仿宋_GB2312" w:hAnsi="仿宋_GB2312" w:eastAsia="仿宋_GB2312" w:cs="仿宋_GB2312"/>
          <w:b w:val="0"/>
          <w:bCs w:val="0"/>
          <w:sz w:val="32"/>
          <w:szCs w:val="32"/>
        </w:rPr>
        <w:t>事件分级</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_Toc12237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kern w:val="2"/>
          <w:sz w:val="32"/>
          <w:szCs w:val="32"/>
          <w:lang w:val="en-US" w:eastAsia="zh-CN" w:bidi="ar-SA"/>
        </w:rPr>
        <w:t>1.3.2 重大环境事件（一级） </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_Toc9410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kern w:val="2"/>
          <w:sz w:val="32"/>
          <w:szCs w:val="32"/>
          <w:lang w:val="en-US" w:eastAsia="zh-CN" w:bidi="ar-SA"/>
        </w:rPr>
        <w:t>1.3.3 较大环境事件（二级） </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_Toc16857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kern w:val="2"/>
          <w:sz w:val="32"/>
          <w:szCs w:val="32"/>
          <w:lang w:val="en-US" w:eastAsia="zh-CN" w:bidi="ar-SA"/>
        </w:rPr>
        <w:t>1.3.4 一般环境事件（三级）</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_Toc31812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1.4</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适用范围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_Toc9064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l.5工作原则</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_Toc22934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2．公司概况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_Toc28619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2.1公司基本情况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_Toc3824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2.1.1公司简介</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lang w:val="en-US" w:eastAsia="zh-CN"/>
        </w:rPr>
        <w:fldChar w:fldCharType="end"/>
      </w:r>
    </w:p>
    <w:p>
      <w:pPr>
        <w:pStyle w:val="5"/>
        <w:keepNext w:val="0"/>
        <w:keepLines w:val="0"/>
        <w:pageBreakBefore w:val="0"/>
        <w:widowControl w:val="0"/>
        <w:tabs>
          <w:tab w:val="right" w:leader="dot" w:pos="8730"/>
        </w:tabs>
        <w:kinsoku/>
        <w:wordWrap/>
        <w:overflowPunct/>
        <w:topLinePunct w:val="0"/>
        <w:autoSpaceDE/>
        <w:autoSpaceDN/>
        <w:bidi w:val="0"/>
        <w:adjustRightInd/>
        <w:snapToGrid/>
        <w:spacing w:line="560" w:lineRule="exact"/>
        <w:ind w:left="0" w:leftChars="0" w:right="0" w:rightChars="0" w:firstLine="0" w:firstLine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_Toc25255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kern w:val="0"/>
          <w:sz w:val="32"/>
          <w:szCs w:val="32"/>
          <w:lang w:val="en-US" w:eastAsia="zh-CN" w:bidi="ar-SA"/>
        </w:rPr>
        <w:t>2.1.2</w:t>
      </w:r>
      <w:r>
        <w:rPr>
          <w:rFonts w:hint="eastAsia" w:ascii="仿宋_GB2312" w:hAnsi="仿宋_GB2312" w:eastAsia="仿宋_GB2312" w:cs="仿宋_GB2312"/>
          <w:b w:val="0"/>
          <w:bCs w:val="0"/>
          <w:kern w:val="2"/>
          <w:sz w:val="32"/>
          <w:szCs w:val="32"/>
          <w:lang w:val="en-US" w:eastAsia="zh-CN" w:bidi="ar-SA"/>
        </w:rPr>
        <w:t>生产工艺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2.1.3主要环保设施</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_Toc4283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2.2 公司周边环境</w:t>
      </w:r>
      <w:r>
        <w:rPr>
          <w:rFonts w:hint="eastAsia" w:ascii="仿宋_GB2312" w:hAnsi="仿宋_GB2312" w:eastAsia="仿宋_GB2312" w:cs="仿宋_GB2312"/>
          <w:b w:val="0"/>
          <w:bCs w:val="0"/>
          <w:sz w:val="32"/>
          <w:szCs w:val="32"/>
          <w:lang w:val="en-US" w:eastAsia="zh-CN"/>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_Toc5314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 xml:space="preserve">3 </w:t>
      </w:r>
      <w:r>
        <w:rPr>
          <w:rFonts w:hint="eastAsia" w:ascii="仿宋_GB2312" w:hAnsi="仿宋_GB2312" w:eastAsia="仿宋_GB2312" w:cs="仿宋_GB2312"/>
          <w:b w:val="0"/>
          <w:bCs w:val="0"/>
          <w:sz w:val="32"/>
          <w:szCs w:val="32"/>
        </w:rPr>
        <w:t>公司平面布置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_Toc23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 xml:space="preserve">4 </w:t>
      </w:r>
      <w:r>
        <w:rPr>
          <w:rFonts w:hint="eastAsia" w:ascii="仿宋_GB2312" w:hAnsi="仿宋_GB2312" w:eastAsia="仿宋_GB2312" w:cs="仿宋_GB2312"/>
          <w:b w:val="0"/>
          <w:bCs w:val="0"/>
          <w:sz w:val="32"/>
          <w:szCs w:val="32"/>
        </w:rPr>
        <w:t>公司地理位置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sz w:val="32"/>
          <w:szCs w:val="32"/>
          <w:lang w:val="en-US" w:eastAsia="zh-CN"/>
        </w:rPr>
        <w:fldChar w:fldCharType="end"/>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_Toc12624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 xml:space="preserve">5 </w:t>
      </w:r>
      <w:r>
        <w:rPr>
          <w:rFonts w:hint="eastAsia" w:ascii="仿宋_GB2312" w:hAnsi="仿宋_GB2312" w:eastAsia="仿宋_GB2312" w:cs="仿宋_GB2312"/>
          <w:b w:val="0"/>
          <w:bCs w:val="0"/>
          <w:sz w:val="32"/>
          <w:szCs w:val="32"/>
        </w:rPr>
        <w:t>周边地质条件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0</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_Toc30633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 xml:space="preserve">6 </w:t>
      </w:r>
      <w:r>
        <w:rPr>
          <w:rFonts w:hint="eastAsia" w:ascii="仿宋_GB2312" w:hAnsi="仿宋_GB2312" w:eastAsia="仿宋_GB2312" w:cs="仿宋_GB2312"/>
          <w:b w:val="0"/>
          <w:bCs w:val="0"/>
          <w:sz w:val="32"/>
          <w:szCs w:val="32"/>
        </w:rPr>
        <w:t>周边气象条件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0</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_Toc15234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 xml:space="preserve">7 </w:t>
      </w:r>
      <w:r>
        <w:rPr>
          <w:rFonts w:hint="eastAsia" w:ascii="仿宋_GB2312" w:hAnsi="仿宋_GB2312" w:eastAsia="仿宋_GB2312" w:cs="仿宋_GB2312"/>
          <w:b w:val="0"/>
          <w:bCs w:val="0"/>
          <w:sz w:val="32"/>
          <w:szCs w:val="32"/>
        </w:rPr>
        <w:t>周边水文水系</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0</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_Toc31870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周边环境敏感点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_Toc24673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3．应急组织体系</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_Toc6884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3.1应急救援领导小组的组成（应急指挥部）</w:t>
      </w:r>
      <w:r>
        <w:rPr>
          <w:rFonts w:hint="eastAsia" w:ascii="仿宋_GB2312" w:hAnsi="仿宋_GB2312" w:eastAsia="仿宋_GB2312" w:cs="仿宋_GB2312"/>
          <w:b w:val="0"/>
          <w:bCs w:val="0"/>
          <w:sz w:val="32"/>
          <w:szCs w:val="32"/>
          <w:lang w:val="en-US" w:eastAsia="zh-CN"/>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_Toc26825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3.2应急救援专业队伍及职责分工</w:t>
      </w:r>
      <w:r>
        <w:rPr>
          <w:rFonts w:hint="eastAsia" w:ascii="仿宋_GB2312" w:hAnsi="仿宋_GB2312" w:eastAsia="仿宋_GB2312" w:cs="仿宋_GB2312"/>
          <w:b w:val="0"/>
          <w:bCs w:val="0"/>
          <w:sz w:val="32"/>
          <w:szCs w:val="32"/>
          <w:lang w:val="en-US" w:eastAsia="zh-CN"/>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_Toc14079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4．环境风险分析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_Toc21534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4.1环境风险评价</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_Toc10661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4.2环境风险源分析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_Toc7806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4.2.1大气环境影响分析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_Toc15785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4.2.2水环境影响分析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4.3最大可信事件及后果分析</w:t>
      </w:r>
      <w:r>
        <w:rPr>
          <w:rFonts w:hint="eastAsia" w:ascii="仿宋_GB2312" w:hAnsi="仿宋_GB2312" w:eastAsia="仿宋_GB2312" w:cs="仿宋_GB2312"/>
          <w:b w:val="0"/>
          <w:bCs w:val="0"/>
          <w:sz w:val="32"/>
          <w:szCs w:val="32"/>
          <w:lang w:val="en-US" w:eastAsia="zh-CN"/>
        </w:rPr>
        <w:tab/>
      </w:r>
      <w:r>
        <w:rPr>
          <w:rFonts w:hint="eastAsia" w:ascii="仿宋_GB2312" w:hAnsi="仿宋_GB2312" w:eastAsia="仿宋_GB2312" w:cs="仿宋_GB2312"/>
          <w:b w:val="0"/>
          <w:bCs w:val="0"/>
          <w:sz w:val="32"/>
          <w:szCs w:val="32"/>
          <w:lang w:val="en-US" w:eastAsia="zh-CN"/>
        </w:rPr>
        <w:t>22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5预防与预警</w:t>
      </w:r>
      <w:r>
        <w:rPr>
          <w:rFonts w:hint="eastAsia" w:ascii="仿宋_GB2312" w:hAnsi="仿宋_GB2312" w:eastAsia="仿宋_GB2312" w:cs="仿宋_GB2312"/>
          <w:b w:val="0"/>
          <w:bCs w:val="0"/>
          <w:sz w:val="32"/>
          <w:szCs w:val="32"/>
          <w:lang w:val="en-US" w:eastAsia="zh-CN"/>
        </w:rPr>
        <w:tab/>
      </w:r>
      <w:r>
        <w:rPr>
          <w:rFonts w:hint="eastAsia" w:ascii="仿宋_GB2312" w:hAnsi="仿宋_GB2312" w:eastAsia="仿宋_GB2312" w:cs="仿宋_GB2312"/>
          <w:b w:val="0"/>
          <w:bCs w:val="0"/>
          <w:sz w:val="32"/>
          <w:szCs w:val="32"/>
          <w:lang w:val="en-US" w:eastAsia="zh-CN"/>
        </w:rPr>
        <w:t>23</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5.1环境风险防范措施</w:t>
      </w:r>
      <w:r>
        <w:rPr>
          <w:rFonts w:hint="eastAsia" w:ascii="仿宋_GB2312" w:hAnsi="仿宋_GB2312" w:eastAsia="仿宋_GB2312" w:cs="仿宋_GB2312"/>
          <w:b w:val="0"/>
          <w:bCs w:val="0"/>
          <w:sz w:val="32"/>
          <w:szCs w:val="32"/>
          <w:lang w:val="en-US" w:eastAsia="zh-CN"/>
        </w:rPr>
        <w:tab/>
      </w:r>
      <w:r>
        <w:rPr>
          <w:rFonts w:hint="eastAsia" w:ascii="仿宋_GB2312" w:hAnsi="仿宋_GB2312" w:eastAsia="仿宋_GB2312" w:cs="仿宋_GB2312"/>
          <w:b w:val="0"/>
          <w:bCs w:val="0"/>
          <w:sz w:val="32"/>
          <w:szCs w:val="32"/>
          <w:lang w:val="en-US" w:eastAsia="zh-CN"/>
        </w:rPr>
        <w:t>23</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_Toc8117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5.2预警分级与准备</w:t>
      </w:r>
      <w:r>
        <w:rPr>
          <w:rFonts w:hint="eastAsia" w:ascii="仿宋_GB2312" w:hAnsi="仿宋_GB2312" w:eastAsia="仿宋_GB2312" w:cs="仿宋_GB2312"/>
          <w:b w:val="0"/>
          <w:bCs w:val="0"/>
          <w:sz w:val="32"/>
          <w:szCs w:val="32"/>
          <w:lang w:val="en-US" w:eastAsia="zh-CN"/>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4</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_Toc20697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5.3预警发布与解除</w:t>
      </w:r>
      <w:r>
        <w:rPr>
          <w:rFonts w:hint="eastAsia" w:ascii="仿宋_GB2312" w:hAnsi="仿宋_GB2312" w:eastAsia="仿宋_GB2312" w:cs="仿宋_GB2312"/>
          <w:b w:val="0"/>
          <w:bCs w:val="0"/>
          <w:sz w:val="32"/>
          <w:szCs w:val="32"/>
          <w:lang w:val="en-US" w:eastAsia="zh-CN"/>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4</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_Toc13761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5.4预警措施</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4</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_Toc25472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6．应急处置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_Toc13452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6.1应急预案启动</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_Toc9090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6.2信息报告</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_Toc7554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6.2.1突发性环境污染事件报告程序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_Toc21319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6.2.2突发性环境污染事件报告方式与内容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_Toc7512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6.2.2.1突发性环境污染事件报告方式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_Toc14586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6.2.2.2突发性环境污染事件报告内容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_Toc1219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6.3分组响应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_Toc24776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6.4指挥和协调</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_Toc31820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6.5现场处置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7</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_Toc4605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6.5.1应急监测</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9</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_Toc29538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6.5.2控制污染源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0</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_Toc5688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6.5.3避免人员伤亡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0</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_Toc3415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6.5.4科学应对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0</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_Toc11018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6.5.5开展事件调查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0</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_Toc8941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6.6信息发布</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_Toc31163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6.7应急终止</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_Toc26011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6.7.1应急终止的条件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_Toc3596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6.7.2应急终止的程序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_Toc22967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7．后期处置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_Toc19499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7.1善后处置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_Toc18210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7.2警戒与治安</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_Toc10042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7.3调查与评估</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_Toc31788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7.3.1污染事件调查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_Toc9493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7.3.2应急预总结评审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_Toc23756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7.4生产秩序恢复与重建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3</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_Toc24892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8．应急保障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3</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_Toc18529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8.1人力资源保障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3</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_Toc4101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8.2资金保障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3</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_Toc29324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8.3物资保障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3</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_Toc19599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8.4医疗卫生保障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4</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_Toc28656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8.5交通运输保障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4</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_Toc3844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8.6治安维护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4</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_Toc32212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8.7通信保障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4</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_Toc22058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8.8技术保障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_Toc1026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9．监督与管理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_Toc9822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9.1应急预案演练</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_Toc2638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9.2宣传培训</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_Toc20834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9.2.1对内宣传培训</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_Toc26541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9.2.2对外宣传培训</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_Toc21929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9.3责任与奖惩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_Toc24269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9.3.1奖励</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_Toc22795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9.3.2责任追究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_Toc15489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10．附则</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_Toc8706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10.1名词术语</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_Toc28291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10.2预案解释</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7</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_Toc19424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10.3修订情况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7</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_Toc32093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10.4实施时期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8</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_Toc5530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附件1 应急救援组织机构名单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9</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_Toc27252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附件2 相关单位和人员通讯录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0</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_Toc26661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附件3 应急工作流程图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1</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_Toc15239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附件4 生产工艺流程图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2</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_Toc22642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 xml:space="preserve">附件5 </w:t>
      </w:r>
      <w:r>
        <w:rPr>
          <w:rFonts w:hint="eastAsia" w:ascii="仿宋_GB2312" w:hAnsi="仿宋_GB2312" w:eastAsia="仿宋_GB2312" w:cs="仿宋_GB2312"/>
          <w:b w:val="0"/>
          <w:bCs w:val="0"/>
          <w:sz w:val="32"/>
          <w:szCs w:val="32"/>
          <w:lang w:eastAsia="zh-CN"/>
        </w:rPr>
        <w:t>地理位置图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3</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_Toc1834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附件6 紧急疏散线路、应急设施平面布置图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4</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_Toc19082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rPr>
        <w:t>附件7 应急物资储备清单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5</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附件8富化公司平面布置图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46</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附件9富化公司风险源分布图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47</w:t>
      </w:r>
    </w:p>
    <w:p>
      <w:pPr>
        <w:pStyle w:val="9"/>
        <w:keepNext w:val="0"/>
        <w:keepLines w:val="0"/>
        <w:pageBreakBefore w:val="0"/>
        <w:widowControl w:val="0"/>
        <w:tabs>
          <w:tab w:val="right" w:leader="dot" w:pos="8730"/>
          <w:tab w:val="clear" w:pos="8820"/>
        </w:tabs>
        <w:kinsoku/>
        <w:wordWrap/>
        <w:overflowPunct/>
        <w:topLinePunct w:val="0"/>
        <w:autoSpaceDE/>
        <w:autoSpaceDN/>
        <w:bidi w:val="0"/>
        <w:adjustRightInd/>
        <w:snapToGrid/>
        <w:spacing w:line="560" w:lineRule="exact"/>
        <w:ind w:left="0" w:leftChars="0" w:right="0" w:righ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附件10富化公司周边交通图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48</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8" w:firstLineChars="187"/>
        <w:jc w:val="both"/>
        <w:textAlignment w:val="auto"/>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rPr>
          <w:rFonts w:hint="eastAsia" w:ascii="仿宋_GB2312" w:hAnsi="仿宋_GB2312" w:eastAsia="仿宋_GB2312" w:cs="仿宋_GB2312"/>
          <w:b w:val="0"/>
          <w:bCs w:val="0"/>
          <w:sz w:val="32"/>
          <w:szCs w:val="32"/>
        </w:rPr>
        <w:sectPr>
          <w:headerReference r:id="rId3" w:type="default"/>
          <w:footerReference r:id="rId4" w:type="default"/>
          <w:pgSz w:w="11906" w:h="16838"/>
          <w:pgMar w:top="1588" w:right="1588" w:bottom="1588" w:left="1588" w:header="1134" w:footer="567" w:gutter="0"/>
          <w:pgNumType w:fmt="upperRoman" w:start="1"/>
          <w:cols w:space="720" w:num="1"/>
          <w:docGrid w:linePitch="352" w:charSpace="-577"/>
        </w:sectPr>
      </w:pPr>
    </w:p>
    <w:p>
      <w:pPr>
        <w:jc w:val="center"/>
        <w:rPr>
          <w:rFonts w:hint="eastAsia" w:ascii="黑体" w:eastAsia="黑体"/>
          <w:bCs/>
          <w:spacing w:val="80"/>
          <w:sz w:val="44"/>
          <w:szCs w:val="44"/>
        </w:rPr>
      </w:pPr>
      <w:r>
        <w:rPr>
          <w:rFonts w:hint="eastAsia" w:ascii="黑体" w:eastAsia="黑体"/>
          <w:bCs/>
          <w:sz w:val="44"/>
          <w:szCs w:val="44"/>
        </w:rPr>
        <w:t>陕西富化化工有限责任公司</w:t>
      </w:r>
    </w:p>
    <w:p>
      <w:pPr>
        <w:jc w:val="center"/>
        <w:rPr>
          <w:rFonts w:hint="eastAsia" w:ascii="黑体" w:eastAsia="黑体"/>
          <w:bCs/>
          <w:spacing w:val="80"/>
          <w:sz w:val="44"/>
          <w:szCs w:val="44"/>
        </w:rPr>
      </w:pPr>
      <w:r>
        <w:rPr>
          <w:rFonts w:hint="eastAsia" w:ascii="黑体" w:eastAsia="黑体"/>
          <w:bCs/>
          <w:spacing w:val="80"/>
          <w:sz w:val="44"/>
          <w:szCs w:val="44"/>
        </w:rPr>
        <w:t>突发环境事件应急预案</w:t>
      </w:r>
    </w:p>
    <w:p>
      <w:pPr>
        <w:spacing w:line="560" w:lineRule="exact"/>
        <w:rPr>
          <w:rFonts w:hint="eastAsia"/>
        </w:rPr>
      </w:pPr>
    </w:p>
    <w:p>
      <w:pPr>
        <w:pStyle w:val="12"/>
        <w:spacing w:line="560" w:lineRule="exact"/>
        <w:outlineLvl w:val="9"/>
        <w:rPr>
          <w:rFonts w:ascii="Times New Roman" w:hAnsi="Times New Roman" w:eastAsia="仿宋_GB2312" w:cs="Times New Roman"/>
          <w:b/>
          <w:bCs w:val="0"/>
          <w:sz w:val="28"/>
          <w:szCs w:val="28"/>
        </w:rPr>
      </w:pPr>
      <w:bookmarkStart w:id="0" w:name="_Toc402516896"/>
      <w:bookmarkStart w:id="1" w:name="_Toc399665384"/>
      <w:bookmarkStart w:id="2" w:name="_Toc17019"/>
      <w:bookmarkStart w:id="3" w:name="_Toc22053"/>
      <w:bookmarkStart w:id="4" w:name="_Toc8148"/>
      <w:r>
        <w:rPr>
          <w:rFonts w:ascii="Times New Roman" w:hAnsi="Times New Roman" w:eastAsia="仿宋_GB2312" w:cs="Times New Roman"/>
          <w:bCs w:val="0"/>
          <w:sz w:val="28"/>
          <w:szCs w:val="28"/>
        </w:rPr>
        <w:t>1．</w:t>
      </w:r>
      <w:r>
        <w:rPr>
          <w:rFonts w:ascii="Times New Roman" w:hAnsi="Times New Roman" w:eastAsia="仿宋_GB2312" w:cs="Times New Roman"/>
          <w:b/>
          <w:bCs w:val="0"/>
          <w:sz w:val="28"/>
          <w:szCs w:val="28"/>
        </w:rPr>
        <w:t>总则</w:t>
      </w:r>
      <w:bookmarkEnd w:id="0"/>
      <w:bookmarkEnd w:id="1"/>
      <w:bookmarkEnd w:id="2"/>
      <w:bookmarkEnd w:id="3"/>
      <w:bookmarkEnd w:id="4"/>
    </w:p>
    <w:p>
      <w:pPr>
        <w:pStyle w:val="12"/>
        <w:spacing w:line="560" w:lineRule="exact"/>
        <w:outlineLvl w:val="9"/>
        <w:rPr>
          <w:rFonts w:ascii="Times New Roman" w:hAnsi="Times New Roman" w:eastAsia="仿宋_GB2312" w:cs="Times New Roman"/>
          <w:b/>
          <w:bCs w:val="0"/>
          <w:sz w:val="28"/>
          <w:szCs w:val="28"/>
        </w:rPr>
      </w:pPr>
      <w:bookmarkStart w:id="5" w:name="_Toc402516897"/>
      <w:bookmarkStart w:id="6" w:name="_Toc31553"/>
      <w:bookmarkStart w:id="7" w:name="_Toc21606"/>
      <w:bookmarkStart w:id="8" w:name="_Toc23778"/>
      <w:r>
        <w:rPr>
          <w:rFonts w:ascii="Times New Roman" w:hAnsi="Times New Roman" w:eastAsia="仿宋_GB2312" w:cs="Times New Roman"/>
          <w:bCs w:val="0"/>
          <w:sz w:val="28"/>
          <w:szCs w:val="28"/>
        </w:rPr>
        <w:t>1.1</w:t>
      </w:r>
      <w:r>
        <w:rPr>
          <w:rFonts w:ascii="Times New Roman" w:hAnsi="Times New Roman" w:eastAsia="仿宋_GB2312" w:cs="Times New Roman"/>
          <w:b/>
          <w:bCs w:val="0"/>
          <w:sz w:val="28"/>
          <w:szCs w:val="28"/>
        </w:rPr>
        <w:t>编制目的</w:t>
      </w:r>
      <w:bookmarkEnd w:id="5"/>
      <w:bookmarkEnd w:id="6"/>
      <w:bookmarkEnd w:id="7"/>
      <w:bookmarkEnd w:id="8"/>
    </w:p>
    <w:p>
      <w:pPr>
        <w:spacing w:line="560" w:lineRule="exact"/>
        <w:ind w:firstLine="523" w:firstLineChars="187"/>
        <w:outlineLvl w:val="0"/>
        <w:rPr>
          <w:rFonts w:hint="eastAsia" w:ascii="仿宋_GB2312" w:hAnsi="仿宋_GB2312" w:eastAsia="仿宋_GB2312" w:cs="仿宋_GB2312"/>
          <w:sz w:val="28"/>
          <w:szCs w:val="28"/>
        </w:rPr>
      </w:pPr>
      <w:bookmarkStart w:id="9" w:name="_Toc5833"/>
      <w:bookmarkStart w:id="10" w:name="_Toc5142"/>
      <w:r>
        <w:rPr>
          <w:rFonts w:hint="eastAsia" w:ascii="仿宋_GB2312" w:hAnsi="仿宋_GB2312" w:eastAsia="仿宋_GB2312" w:cs="仿宋_GB2312"/>
          <w:sz w:val="28"/>
          <w:szCs w:val="28"/>
          <w:lang w:eastAsia="zh-CN"/>
        </w:rPr>
        <w:t>为了贯彻落实国家关于突发环境事件应急管理的法律法规，确保突发环境事件时能高效应对，从而降低环境风险。</w:t>
      </w:r>
      <w:r>
        <w:rPr>
          <w:rFonts w:hint="eastAsia" w:ascii="仿宋_GB2312" w:hAnsi="仿宋_GB2312" w:eastAsia="仿宋_GB2312" w:cs="仿宋_GB2312"/>
          <w:sz w:val="28"/>
          <w:szCs w:val="28"/>
        </w:rPr>
        <w:t>建立健全环境污染事件应急机制，规范公司应急管理工作，明确相关</w:t>
      </w:r>
      <w:r>
        <w:rPr>
          <w:rFonts w:hint="eastAsia" w:ascii="仿宋_GB2312" w:hAnsi="仿宋_GB2312" w:eastAsia="仿宋_GB2312" w:cs="仿宋_GB2312"/>
          <w:sz w:val="28"/>
          <w:szCs w:val="28"/>
          <w:lang w:eastAsia="zh-CN"/>
        </w:rPr>
        <w:t>应急</w:t>
      </w:r>
      <w:r>
        <w:rPr>
          <w:rFonts w:hint="eastAsia" w:ascii="仿宋_GB2312" w:hAnsi="仿宋_GB2312" w:eastAsia="仿宋_GB2312" w:cs="仿宋_GB2312"/>
          <w:sz w:val="28"/>
          <w:szCs w:val="28"/>
        </w:rPr>
        <w:t>职责，提高企业应对突发环境污染事件的能力，预防和减少突发事件对环境的影响，保障公众生命健康和财产安全，保护环境，特</w:t>
      </w:r>
      <w:r>
        <w:rPr>
          <w:rFonts w:hint="eastAsia" w:ascii="仿宋_GB2312" w:hAnsi="仿宋_GB2312" w:eastAsia="仿宋_GB2312" w:cs="仿宋_GB2312"/>
          <w:sz w:val="28"/>
          <w:szCs w:val="28"/>
          <w:lang w:eastAsia="zh-CN"/>
        </w:rPr>
        <w:t>编制</w:t>
      </w:r>
      <w:r>
        <w:rPr>
          <w:rFonts w:hint="eastAsia" w:ascii="仿宋_GB2312" w:hAnsi="仿宋_GB2312" w:eastAsia="仿宋_GB2312" w:cs="仿宋_GB2312"/>
          <w:sz w:val="28"/>
          <w:szCs w:val="28"/>
        </w:rPr>
        <w:t>本预案。</w:t>
      </w:r>
      <w:bookmarkEnd w:id="9"/>
      <w:bookmarkEnd w:id="10"/>
    </w:p>
    <w:p>
      <w:pPr>
        <w:pStyle w:val="12"/>
        <w:spacing w:line="560" w:lineRule="exact"/>
        <w:outlineLvl w:val="0"/>
        <w:rPr>
          <w:rFonts w:ascii="Times New Roman" w:hAnsi="Times New Roman" w:eastAsia="仿宋_GB2312" w:cs="Times New Roman"/>
          <w:b/>
          <w:bCs w:val="0"/>
          <w:sz w:val="28"/>
          <w:szCs w:val="28"/>
        </w:rPr>
      </w:pPr>
      <w:bookmarkStart w:id="11" w:name="_Toc399665385"/>
      <w:bookmarkStart w:id="12" w:name="_Toc402516898"/>
      <w:bookmarkStart w:id="13" w:name="_Toc10812"/>
      <w:bookmarkStart w:id="14" w:name="_Toc23708"/>
      <w:bookmarkStart w:id="15" w:name="_Toc19027"/>
      <w:r>
        <w:rPr>
          <w:rFonts w:ascii="Times New Roman" w:hAnsi="Times New Roman" w:eastAsia="仿宋_GB2312" w:cs="Times New Roman"/>
          <w:bCs w:val="0"/>
          <w:sz w:val="28"/>
          <w:szCs w:val="28"/>
        </w:rPr>
        <w:t>1.2</w:t>
      </w:r>
      <w:r>
        <w:rPr>
          <w:rFonts w:ascii="Times New Roman" w:hAnsi="Times New Roman" w:eastAsia="仿宋_GB2312" w:cs="Times New Roman"/>
          <w:b/>
          <w:bCs w:val="0"/>
          <w:sz w:val="28"/>
          <w:szCs w:val="28"/>
        </w:rPr>
        <w:t>编制依据</w:t>
      </w:r>
      <w:bookmarkEnd w:id="11"/>
      <w:bookmarkEnd w:id="12"/>
      <w:bookmarkEnd w:id="13"/>
      <w:bookmarkEnd w:id="14"/>
      <w:bookmarkEnd w:id="15"/>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16" w:name="_Toc22237"/>
      <w:bookmarkStart w:id="17" w:name="_Toc24386"/>
      <w:r>
        <w:rPr>
          <w:rFonts w:hint="eastAsia" w:ascii="仿宋_GB2312" w:hAnsi="仿宋_GB2312" w:eastAsia="仿宋_GB2312" w:cs="仿宋_GB2312"/>
          <w:sz w:val="28"/>
          <w:szCs w:val="28"/>
          <w:lang w:val="en-US" w:eastAsia="zh-CN"/>
        </w:rPr>
        <w:t>（1）《中华人民共和国环境保护法》</w:t>
      </w:r>
      <w:bookmarkEnd w:id="16"/>
      <w:bookmarkStart w:id="18" w:name="_Toc27870"/>
      <w:r>
        <w:rPr>
          <w:rFonts w:hint="eastAsia" w:ascii="仿宋_GB2312" w:hAnsi="仿宋_GB2312" w:eastAsia="仿宋_GB2312" w:cs="仿宋_GB2312"/>
          <w:sz w:val="28"/>
          <w:szCs w:val="28"/>
          <w:lang w:val="en-US" w:eastAsia="zh-CN"/>
        </w:rPr>
        <w:t>（2014修订）（1989年12月26日第七届全国人民代表大会常务委员会第十一次会议通过；2014年4月24日第十二届全国人民代表大会常务委员会第八次会议修订；自2015年1月1日起施行）； </w:t>
      </w:r>
      <w:bookmarkEnd w:id="17"/>
      <w:bookmarkEnd w:id="18"/>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19" w:name="_Toc9405"/>
      <w:bookmarkStart w:id="20" w:name="_Toc22518"/>
      <w:r>
        <w:rPr>
          <w:rFonts w:hint="eastAsia" w:ascii="仿宋_GB2312" w:hAnsi="仿宋_GB2312" w:eastAsia="仿宋_GB2312" w:cs="仿宋_GB2312"/>
          <w:sz w:val="28"/>
          <w:szCs w:val="28"/>
          <w:lang w:val="en-US" w:eastAsia="zh-CN"/>
        </w:rPr>
        <w:t>（2）《中华人民共和国大气污染防治法》（中华人民共和国主席令[2000]第32号）； </w:t>
      </w:r>
      <w:bookmarkEnd w:id="19"/>
      <w:bookmarkEnd w:id="20"/>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21" w:name="_Toc14056"/>
      <w:bookmarkStart w:id="22" w:name="_Toc27654"/>
      <w:r>
        <w:rPr>
          <w:rFonts w:hint="eastAsia" w:ascii="仿宋_GB2312" w:hAnsi="仿宋_GB2312" w:eastAsia="仿宋_GB2312" w:cs="仿宋_GB2312"/>
          <w:sz w:val="28"/>
          <w:szCs w:val="28"/>
          <w:lang w:val="en-US" w:eastAsia="zh-CN"/>
        </w:rPr>
        <w:t>（3）《中华人民共和国水污染防治法》（中华人民共和国主席令[2008]第87号）； </w:t>
      </w:r>
      <w:bookmarkEnd w:id="21"/>
      <w:bookmarkEnd w:id="22"/>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23" w:name="_Toc7363"/>
      <w:bookmarkStart w:id="24" w:name="_Toc1857"/>
      <w:r>
        <w:rPr>
          <w:rFonts w:hint="eastAsia" w:ascii="仿宋_GB2312" w:hAnsi="仿宋_GB2312" w:eastAsia="仿宋_GB2312" w:cs="仿宋_GB2312"/>
          <w:sz w:val="28"/>
          <w:szCs w:val="28"/>
          <w:lang w:val="en-US" w:eastAsia="zh-CN"/>
        </w:rPr>
        <w:t>（4）《中华人民共和国固体废物污染环境防治法》（中华人民共和国主席令第58号，2004年修订）； </w:t>
      </w:r>
      <w:bookmarkEnd w:id="23"/>
      <w:bookmarkEnd w:id="24"/>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25" w:name="_Toc30990"/>
      <w:bookmarkStart w:id="26" w:name="_Toc31097"/>
      <w:r>
        <w:rPr>
          <w:rFonts w:hint="eastAsia" w:ascii="仿宋_GB2312" w:hAnsi="仿宋_GB2312" w:eastAsia="仿宋_GB2312" w:cs="仿宋_GB2312"/>
          <w:sz w:val="28"/>
          <w:szCs w:val="28"/>
          <w:lang w:val="en-US" w:eastAsia="zh-CN"/>
        </w:rPr>
        <w:t>（5）《中华人民共和国安全生产法》 （中华人民共和国主席令第70号）；</w:t>
      </w:r>
      <w:bookmarkEnd w:id="25"/>
      <w:bookmarkEnd w:id="26"/>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27" w:name="_Toc20935"/>
      <w:bookmarkStart w:id="28" w:name="_Toc14469"/>
      <w:r>
        <w:rPr>
          <w:rFonts w:hint="eastAsia" w:ascii="仿宋_GB2312" w:hAnsi="仿宋_GB2312" w:eastAsia="仿宋_GB2312" w:cs="仿宋_GB2312"/>
          <w:sz w:val="28"/>
          <w:szCs w:val="28"/>
          <w:lang w:val="en-US" w:eastAsia="zh-CN"/>
        </w:rPr>
        <w:t>（6）《建设项目环境保护管理条例》（中华人民共和国国务院令第253号）； </w:t>
      </w:r>
      <w:bookmarkEnd w:id="27"/>
      <w:bookmarkEnd w:id="28"/>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29" w:name="_Toc31033"/>
      <w:bookmarkStart w:id="30" w:name="_Toc22007"/>
      <w:r>
        <w:rPr>
          <w:rFonts w:hint="eastAsia" w:ascii="仿宋_GB2312" w:hAnsi="仿宋_GB2312" w:eastAsia="仿宋_GB2312" w:cs="仿宋_GB2312"/>
          <w:sz w:val="28"/>
          <w:szCs w:val="28"/>
          <w:lang w:val="en-US" w:eastAsia="zh-CN"/>
        </w:rPr>
        <w:t>（7）《危险化学品安全管理条例》（中国人民共和国国务院令第591号）； </w:t>
      </w:r>
      <w:bookmarkEnd w:id="29"/>
      <w:bookmarkEnd w:id="30"/>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31" w:name="_Toc16063"/>
      <w:bookmarkStart w:id="32" w:name="_Toc23247"/>
      <w:r>
        <w:rPr>
          <w:rFonts w:hint="eastAsia" w:ascii="仿宋_GB2312" w:hAnsi="仿宋_GB2312" w:eastAsia="仿宋_GB2312" w:cs="仿宋_GB2312"/>
          <w:sz w:val="28"/>
          <w:szCs w:val="28"/>
          <w:lang w:val="en-US" w:eastAsia="zh-CN"/>
        </w:rPr>
        <w:t>（8）《建设项目环境影响评价分类管理名录》（中华人民共和国环境保护部令第2号）； </w:t>
      </w:r>
      <w:bookmarkEnd w:id="31"/>
      <w:bookmarkEnd w:id="32"/>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33" w:name="_Toc2187"/>
      <w:bookmarkStart w:id="34" w:name="_Toc11760"/>
      <w:r>
        <w:rPr>
          <w:rFonts w:hint="eastAsia" w:ascii="仿宋_GB2312" w:hAnsi="仿宋_GB2312" w:eastAsia="仿宋_GB2312" w:cs="仿宋_GB2312"/>
          <w:sz w:val="28"/>
          <w:szCs w:val="28"/>
          <w:lang w:val="en-US" w:eastAsia="zh-CN"/>
        </w:rPr>
        <w:t>（9）《危险化学品目录》（2015版）； </w:t>
      </w:r>
      <w:bookmarkEnd w:id="33"/>
      <w:bookmarkEnd w:id="34"/>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35" w:name="_Toc12856"/>
      <w:bookmarkStart w:id="36" w:name="_Toc25597"/>
      <w:r>
        <w:rPr>
          <w:rFonts w:hint="eastAsia" w:ascii="仿宋_GB2312" w:hAnsi="仿宋_GB2312" w:eastAsia="仿宋_GB2312" w:cs="仿宋_GB2312"/>
          <w:sz w:val="28"/>
          <w:szCs w:val="28"/>
          <w:lang w:val="en-US" w:eastAsia="zh-CN"/>
        </w:rPr>
        <w:t>（10）《剧毒化学品名录》（国家安全生产监督管理局等8部门公告2003第2号）； </w:t>
      </w:r>
      <w:bookmarkEnd w:id="35"/>
      <w:bookmarkEnd w:id="36"/>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37" w:name="_Toc23920"/>
      <w:bookmarkStart w:id="38" w:name="_Toc30260"/>
      <w:r>
        <w:rPr>
          <w:rFonts w:hint="eastAsia" w:ascii="仿宋_GB2312" w:hAnsi="仿宋_GB2312" w:eastAsia="仿宋_GB2312" w:cs="仿宋_GB2312"/>
          <w:sz w:val="28"/>
          <w:szCs w:val="28"/>
          <w:lang w:val="en-US" w:eastAsia="zh-CN"/>
        </w:rPr>
        <w:t>（11）《关于印发&lt;突发环境事件应急预案管理暂行办法&gt;的通知》（环境保护部环发[2010]113号文）； </w:t>
      </w:r>
      <w:bookmarkEnd w:id="37"/>
      <w:bookmarkEnd w:id="38"/>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39" w:name="_Toc27326"/>
      <w:bookmarkStart w:id="40" w:name="_Toc6759"/>
      <w:r>
        <w:rPr>
          <w:rFonts w:hint="eastAsia" w:ascii="仿宋_GB2312" w:hAnsi="仿宋_GB2312" w:eastAsia="仿宋_GB2312" w:cs="仿宋_GB2312"/>
          <w:sz w:val="28"/>
          <w:szCs w:val="28"/>
          <w:lang w:val="en-US" w:eastAsia="zh-CN"/>
        </w:rPr>
        <w:t>（12）《国家突发环境事件应急预案》；</w:t>
      </w:r>
      <w:bookmarkEnd w:id="39"/>
      <w:bookmarkEnd w:id="40"/>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41" w:name="_Toc16100"/>
      <w:bookmarkStart w:id="42" w:name="_Toc30071"/>
      <w:r>
        <w:rPr>
          <w:rFonts w:hint="eastAsia" w:ascii="仿宋_GB2312" w:hAnsi="仿宋_GB2312" w:eastAsia="仿宋_GB2312" w:cs="仿宋_GB2312"/>
          <w:sz w:val="28"/>
          <w:szCs w:val="28"/>
          <w:lang w:val="en-US" w:eastAsia="zh-CN"/>
        </w:rPr>
        <w:t>（13）《建设项目环境风险评价技术导则》（HJ/T 169-2004）； </w:t>
      </w:r>
      <w:bookmarkEnd w:id="41"/>
      <w:bookmarkEnd w:id="42"/>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43" w:name="_Toc4979"/>
      <w:bookmarkStart w:id="44" w:name="_Toc17600"/>
      <w:r>
        <w:rPr>
          <w:rFonts w:hint="eastAsia" w:ascii="仿宋_GB2312" w:hAnsi="仿宋_GB2312" w:eastAsia="仿宋_GB2312" w:cs="仿宋_GB2312"/>
          <w:sz w:val="28"/>
          <w:szCs w:val="28"/>
          <w:lang w:val="en-US" w:eastAsia="zh-CN"/>
        </w:rPr>
        <w:t>（14）《突发环境事件应急监测技术规范》(HJ589-2010);</w:t>
      </w:r>
      <w:bookmarkEnd w:id="43"/>
      <w:bookmarkEnd w:id="44"/>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45" w:name="_Toc4915"/>
      <w:bookmarkStart w:id="46" w:name="_Toc20262"/>
      <w:r>
        <w:rPr>
          <w:rFonts w:hint="eastAsia" w:ascii="仿宋_GB2312" w:hAnsi="仿宋_GB2312" w:eastAsia="仿宋_GB2312" w:cs="仿宋_GB2312"/>
          <w:sz w:val="28"/>
          <w:szCs w:val="28"/>
          <w:lang w:val="en-US" w:eastAsia="zh-CN"/>
        </w:rPr>
        <w:t>（15）《国家危险废物名录》（环境保护部、国家发展和改革委员会联合颁布，[2008]第1号令）； </w:t>
      </w:r>
      <w:bookmarkEnd w:id="45"/>
      <w:bookmarkEnd w:id="46"/>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47" w:name="_Toc2655"/>
      <w:bookmarkStart w:id="48" w:name="_Toc14884"/>
      <w:r>
        <w:rPr>
          <w:rFonts w:hint="eastAsia" w:ascii="仿宋_GB2312" w:hAnsi="仿宋_GB2312" w:eastAsia="仿宋_GB2312" w:cs="仿宋_GB2312"/>
          <w:sz w:val="28"/>
          <w:szCs w:val="28"/>
          <w:lang w:val="en-US" w:eastAsia="zh-CN"/>
        </w:rPr>
        <w:t>（16）《地表水环境质量标准》（GB3838）；</w:t>
      </w:r>
      <w:bookmarkEnd w:id="47"/>
      <w:bookmarkEnd w:id="48"/>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49" w:name="_Toc13700"/>
      <w:bookmarkStart w:id="50" w:name="_Toc16841"/>
      <w:r>
        <w:rPr>
          <w:rFonts w:hint="eastAsia" w:ascii="仿宋_GB2312" w:hAnsi="仿宋_GB2312" w:eastAsia="仿宋_GB2312" w:cs="仿宋_GB2312"/>
          <w:sz w:val="28"/>
          <w:szCs w:val="28"/>
          <w:lang w:val="en-US" w:eastAsia="zh-CN"/>
        </w:rPr>
        <w:t>（17）《地下水质量标准》（GB/T14848）； </w:t>
      </w:r>
      <w:bookmarkEnd w:id="49"/>
      <w:bookmarkEnd w:id="50"/>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51" w:name="_Toc26179"/>
      <w:bookmarkStart w:id="52" w:name="_Toc23404"/>
      <w:r>
        <w:rPr>
          <w:rFonts w:hint="eastAsia" w:ascii="仿宋_GB2312" w:hAnsi="仿宋_GB2312" w:eastAsia="仿宋_GB2312" w:cs="仿宋_GB2312"/>
          <w:sz w:val="28"/>
          <w:szCs w:val="28"/>
          <w:lang w:val="en-US" w:eastAsia="zh-CN"/>
        </w:rPr>
        <w:t>（18）《环境空气质量标准》（GB3095）；</w:t>
      </w:r>
      <w:bookmarkEnd w:id="51"/>
      <w:bookmarkEnd w:id="52"/>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53" w:name="_Toc20717"/>
      <w:bookmarkStart w:id="54" w:name="_Toc7552"/>
      <w:r>
        <w:rPr>
          <w:rFonts w:hint="eastAsia" w:ascii="仿宋_GB2312" w:hAnsi="仿宋_GB2312" w:eastAsia="仿宋_GB2312" w:cs="仿宋_GB2312"/>
          <w:sz w:val="28"/>
          <w:szCs w:val="28"/>
          <w:lang w:val="en-US" w:eastAsia="zh-CN"/>
        </w:rPr>
        <w:t>（19）《大气污染物综合排放标准》（GB16297）； </w:t>
      </w:r>
      <w:bookmarkEnd w:id="53"/>
      <w:bookmarkEnd w:id="54"/>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55" w:name="_Toc8175"/>
      <w:bookmarkStart w:id="56" w:name="_Toc2106"/>
      <w:r>
        <w:rPr>
          <w:rFonts w:hint="eastAsia" w:ascii="仿宋_GB2312" w:hAnsi="仿宋_GB2312" w:eastAsia="仿宋_GB2312" w:cs="仿宋_GB2312"/>
          <w:sz w:val="28"/>
          <w:szCs w:val="28"/>
          <w:lang w:val="en-US" w:eastAsia="zh-CN"/>
        </w:rPr>
        <w:t>（20）《污水综合排放标准》（GB8978）； </w:t>
      </w:r>
      <w:bookmarkEnd w:id="55"/>
      <w:bookmarkEnd w:id="56"/>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57" w:name="_Toc13530"/>
      <w:bookmarkStart w:id="58" w:name="_Toc23392"/>
      <w:r>
        <w:rPr>
          <w:rFonts w:hint="eastAsia" w:ascii="仿宋_GB2312" w:hAnsi="仿宋_GB2312" w:eastAsia="仿宋_GB2312" w:cs="仿宋_GB2312"/>
          <w:sz w:val="28"/>
          <w:szCs w:val="28"/>
          <w:lang w:val="en-US" w:eastAsia="zh-CN"/>
        </w:rPr>
        <w:t>（21）《恶臭污染物排放标准》（GB14554）； </w:t>
      </w:r>
      <w:bookmarkEnd w:id="57"/>
      <w:bookmarkEnd w:id="58"/>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59" w:name="_Toc9074"/>
      <w:bookmarkStart w:id="60" w:name="_Toc30048"/>
      <w:r>
        <w:rPr>
          <w:rFonts w:hint="eastAsia" w:ascii="仿宋_GB2312" w:hAnsi="仿宋_GB2312" w:eastAsia="仿宋_GB2312" w:cs="仿宋_GB2312"/>
          <w:sz w:val="28"/>
          <w:szCs w:val="28"/>
          <w:lang w:val="en-US" w:eastAsia="zh-CN"/>
        </w:rPr>
        <w:t>（22）《工业企业设计卫生标准》（GBZ1）； </w:t>
      </w:r>
      <w:bookmarkEnd w:id="59"/>
      <w:bookmarkEnd w:id="60"/>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61" w:name="_Toc30229"/>
      <w:bookmarkStart w:id="62" w:name="_Toc17593"/>
      <w:r>
        <w:rPr>
          <w:rFonts w:hint="eastAsia" w:ascii="仿宋_GB2312" w:hAnsi="仿宋_GB2312" w:eastAsia="仿宋_GB2312" w:cs="仿宋_GB2312"/>
          <w:sz w:val="28"/>
          <w:szCs w:val="28"/>
          <w:lang w:val="en-US" w:eastAsia="zh-CN"/>
        </w:rPr>
        <w:t>（23）《工作场所有害因素职业接触限值》（GBZ2）； </w:t>
      </w:r>
      <w:bookmarkEnd w:id="61"/>
      <w:bookmarkEnd w:id="62"/>
    </w:p>
    <w:p>
      <w:pPr>
        <w:spacing w:line="560" w:lineRule="exact"/>
        <w:ind w:firstLine="523" w:firstLineChars="187"/>
        <w:outlineLvl w:val="0"/>
        <w:rPr>
          <w:rFonts w:hint="eastAsia" w:ascii="仿宋_GB2312" w:hAnsi="仿宋_GB2312" w:eastAsia="仿宋_GB2312" w:cs="仿宋_GB2312"/>
          <w:sz w:val="28"/>
          <w:szCs w:val="28"/>
          <w:lang w:val="en-US" w:eastAsia="zh-CN"/>
        </w:rPr>
      </w:pPr>
      <w:bookmarkStart w:id="63" w:name="_Toc28568"/>
      <w:bookmarkStart w:id="64" w:name="_Toc14226"/>
      <w:r>
        <w:rPr>
          <w:rFonts w:hint="eastAsia" w:ascii="仿宋_GB2312" w:hAnsi="仿宋_GB2312" w:eastAsia="仿宋_GB2312" w:cs="仿宋_GB2312"/>
          <w:sz w:val="28"/>
          <w:szCs w:val="28"/>
          <w:lang w:val="en-US" w:eastAsia="zh-CN"/>
        </w:rPr>
        <w:t>（24）《陕西省突发环境事件应急预案管理暂行办法》。</w:t>
      </w:r>
      <w:bookmarkEnd w:id="63"/>
      <w:bookmarkEnd w:id="64"/>
    </w:p>
    <w:p>
      <w:pPr>
        <w:spacing w:line="560" w:lineRule="exact"/>
        <w:ind w:firstLine="523" w:firstLineChars="187"/>
        <w:outlineLvl w:val="0"/>
        <w:rPr>
          <w:rFonts w:hint="eastAsia" w:ascii="仿宋_GB2312" w:hAnsi="仿宋_GB2312" w:eastAsia="仿宋_GB2312" w:cs="仿宋_GB2312"/>
          <w:sz w:val="28"/>
          <w:szCs w:val="28"/>
        </w:rPr>
      </w:pPr>
      <w:bookmarkStart w:id="65" w:name="_Toc2231"/>
      <w:bookmarkStart w:id="66" w:name="_Toc20877"/>
      <w:r>
        <w:rPr>
          <w:rFonts w:hint="eastAsia" w:ascii="仿宋_GB2312" w:hAnsi="仿宋_GB2312" w:eastAsia="仿宋_GB2312" w:cs="仿宋_GB2312"/>
          <w:sz w:val="28"/>
          <w:szCs w:val="28"/>
        </w:rPr>
        <w:t>以及本公司生产工艺、产品的特性，厂区的地形地貌等编制本预案。</w:t>
      </w:r>
      <w:bookmarkEnd w:id="65"/>
      <w:bookmarkEnd w:id="66"/>
    </w:p>
    <w:p>
      <w:pPr>
        <w:spacing w:line="560" w:lineRule="exact"/>
        <w:outlineLvl w:val="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bookmarkStart w:id="67" w:name="_Toc24215"/>
      <w:bookmarkStart w:id="68" w:name="_Toc11388"/>
      <w:r>
        <w:rPr>
          <w:rFonts w:hint="eastAsia" w:ascii="仿宋_GB2312" w:hAnsi="仿宋_GB2312" w:eastAsia="仿宋_GB2312" w:cs="仿宋_GB2312"/>
          <w:sz w:val="28"/>
          <w:szCs w:val="28"/>
          <w:lang w:val="en-US" w:eastAsia="zh-CN"/>
        </w:rPr>
        <w:t>以上未注明法规或标准均为最新法规或标准。</w:t>
      </w:r>
      <w:bookmarkEnd w:id="67"/>
      <w:bookmarkEnd w:id="68"/>
    </w:p>
    <w:p>
      <w:pPr>
        <w:pStyle w:val="12"/>
        <w:spacing w:line="560" w:lineRule="exact"/>
        <w:outlineLvl w:val="0"/>
        <w:rPr>
          <w:rFonts w:ascii="Times New Roman" w:hAnsi="Times New Roman" w:eastAsia="仿宋_GB2312" w:cs="Times New Roman"/>
          <w:b/>
          <w:bCs/>
          <w:sz w:val="28"/>
          <w:szCs w:val="28"/>
        </w:rPr>
      </w:pPr>
      <w:bookmarkStart w:id="69" w:name="_Toc399665386"/>
      <w:bookmarkStart w:id="70" w:name="_Toc402516899"/>
      <w:bookmarkStart w:id="71" w:name="_Toc10070"/>
      <w:bookmarkStart w:id="72" w:name="_Toc8884"/>
      <w:bookmarkStart w:id="73" w:name="_Toc24511"/>
      <w:r>
        <w:rPr>
          <w:rFonts w:ascii="Times New Roman" w:hAnsi="Times New Roman" w:eastAsia="仿宋_GB2312" w:cs="Times New Roman"/>
          <w:b/>
          <w:bCs/>
          <w:sz w:val="28"/>
          <w:szCs w:val="28"/>
        </w:rPr>
        <w:t>1.3</w:t>
      </w:r>
      <w:bookmarkEnd w:id="69"/>
      <w:bookmarkEnd w:id="70"/>
      <w:r>
        <w:rPr>
          <w:rFonts w:hint="eastAsia" w:ascii="Times New Roman" w:hAnsi="Times New Roman" w:eastAsia="仿宋_GB2312" w:cs="Times New Roman"/>
          <w:b/>
          <w:bCs/>
          <w:sz w:val="28"/>
          <w:szCs w:val="28"/>
          <w:lang w:val="en-US" w:eastAsia="zh-CN"/>
        </w:rPr>
        <w:t xml:space="preserve"> </w:t>
      </w:r>
      <w:r>
        <w:rPr>
          <w:rFonts w:hint="eastAsia" w:ascii="仿宋_GB2312" w:hAnsi="仿宋_GB2312" w:eastAsia="仿宋_GB2312" w:cs="仿宋_GB2312"/>
          <w:b/>
          <w:bCs/>
          <w:sz w:val="28"/>
          <w:szCs w:val="28"/>
          <w:lang w:val="en-US" w:eastAsia="zh-CN"/>
        </w:rPr>
        <w:t>国家《突发环境事件分级标准》</w:t>
      </w:r>
      <w:bookmarkEnd w:id="71"/>
      <w:bookmarkEnd w:id="72"/>
      <w:bookmarkEnd w:id="73"/>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FF0000"/>
          <w:kern w:val="2"/>
          <w:sz w:val="28"/>
          <w:szCs w:val="28"/>
          <w:lang w:val="en-US" w:eastAsia="zh-CN" w:bidi="ar-SA"/>
        </w:rPr>
        <w:t xml:space="preserve">   </w:t>
      </w:r>
      <w:bookmarkStart w:id="74" w:name="_Toc18645"/>
      <w:bookmarkStart w:id="75" w:name="_Toc32180"/>
      <w:r>
        <w:rPr>
          <w:rFonts w:hint="eastAsia" w:ascii="仿宋_GB2312" w:hAnsi="仿宋_GB2312" w:eastAsia="仿宋_GB2312" w:cs="仿宋_GB2312"/>
          <w:color w:val="auto"/>
          <w:kern w:val="2"/>
          <w:sz w:val="28"/>
          <w:szCs w:val="28"/>
          <w:lang w:val="en-US" w:eastAsia="zh-CN" w:bidi="ar-SA"/>
        </w:rPr>
        <w:t>（一）特别重大突发环境事件</w:t>
      </w:r>
      <w:bookmarkEnd w:id="74"/>
      <w:bookmarkEnd w:id="75"/>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76" w:name="_Toc29687"/>
      <w:bookmarkStart w:id="77" w:name="_Toc12487"/>
      <w:r>
        <w:rPr>
          <w:rFonts w:hint="eastAsia" w:ascii="仿宋_GB2312" w:hAnsi="仿宋_GB2312" w:eastAsia="仿宋_GB2312" w:cs="仿宋_GB2312"/>
          <w:color w:val="auto"/>
          <w:kern w:val="2"/>
          <w:sz w:val="28"/>
          <w:szCs w:val="28"/>
          <w:lang w:val="en-US" w:eastAsia="zh-CN" w:bidi="ar-SA"/>
        </w:rPr>
        <w:t>凡符合下列情形之一的，为特别重大突发环境事件：</w:t>
      </w:r>
      <w:bookmarkEnd w:id="76"/>
      <w:bookmarkEnd w:id="77"/>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78" w:name="_Toc31535"/>
      <w:bookmarkStart w:id="79" w:name="_Toc5159"/>
      <w:r>
        <w:rPr>
          <w:rFonts w:hint="eastAsia" w:ascii="仿宋_GB2312" w:hAnsi="仿宋_GB2312" w:eastAsia="仿宋_GB2312" w:cs="仿宋_GB2312"/>
          <w:color w:val="auto"/>
          <w:kern w:val="2"/>
          <w:sz w:val="28"/>
          <w:szCs w:val="28"/>
          <w:lang w:val="en-US" w:eastAsia="zh-CN" w:bidi="ar-SA"/>
        </w:rPr>
        <w:t>1、因环境污染直接导致30人以上死亡或100人以上中毒或者重伤的；</w:t>
      </w:r>
      <w:bookmarkEnd w:id="78"/>
      <w:bookmarkEnd w:id="79"/>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80" w:name="_Toc26657"/>
      <w:bookmarkStart w:id="81" w:name="_Toc18922"/>
      <w:r>
        <w:rPr>
          <w:rFonts w:hint="eastAsia" w:ascii="仿宋_GB2312" w:hAnsi="仿宋_GB2312" w:eastAsia="仿宋_GB2312" w:cs="仿宋_GB2312"/>
          <w:color w:val="auto"/>
          <w:kern w:val="2"/>
          <w:sz w:val="28"/>
          <w:szCs w:val="28"/>
          <w:lang w:val="en-US" w:eastAsia="zh-CN" w:bidi="ar-SA"/>
        </w:rPr>
        <w:t>2、因环境污染疏散、转移人员5万人以上的；</w:t>
      </w:r>
      <w:bookmarkEnd w:id="80"/>
      <w:bookmarkEnd w:id="81"/>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82" w:name="_Toc1065"/>
      <w:bookmarkStart w:id="83" w:name="_Toc18410"/>
      <w:r>
        <w:rPr>
          <w:rFonts w:hint="eastAsia" w:ascii="仿宋_GB2312" w:hAnsi="仿宋_GB2312" w:eastAsia="仿宋_GB2312" w:cs="仿宋_GB2312"/>
          <w:color w:val="auto"/>
          <w:kern w:val="2"/>
          <w:sz w:val="28"/>
          <w:szCs w:val="28"/>
          <w:lang w:val="en-US" w:eastAsia="zh-CN" w:bidi="ar-SA"/>
        </w:rPr>
        <w:t>3、因环境污染造成直接经济损失1亿元以上的；</w:t>
      </w:r>
      <w:bookmarkEnd w:id="82"/>
      <w:bookmarkEnd w:id="83"/>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84" w:name="_Toc1891"/>
      <w:bookmarkStart w:id="85" w:name="_Toc29508"/>
      <w:r>
        <w:rPr>
          <w:rFonts w:hint="eastAsia" w:ascii="仿宋_GB2312" w:hAnsi="仿宋_GB2312" w:eastAsia="仿宋_GB2312" w:cs="仿宋_GB2312"/>
          <w:color w:val="auto"/>
          <w:kern w:val="2"/>
          <w:sz w:val="28"/>
          <w:szCs w:val="28"/>
          <w:lang w:val="en-US" w:eastAsia="zh-CN" w:bidi="ar-SA"/>
        </w:rPr>
        <w:t>4、因环境污染造成区域生态功能丧失或该区域国家重点保护物种灭绝的；</w:t>
      </w:r>
      <w:bookmarkEnd w:id="84"/>
      <w:bookmarkEnd w:id="85"/>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86" w:name="_Toc14319"/>
      <w:bookmarkStart w:id="87" w:name="_Toc14231"/>
      <w:r>
        <w:rPr>
          <w:rFonts w:hint="eastAsia" w:ascii="仿宋_GB2312" w:hAnsi="仿宋_GB2312" w:eastAsia="仿宋_GB2312" w:cs="仿宋_GB2312"/>
          <w:color w:val="auto"/>
          <w:kern w:val="2"/>
          <w:sz w:val="28"/>
          <w:szCs w:val="28"/>
          <w:lang w:val="en-US" w:eastAsia="zh-CN" w:bidi="ar-SA"/>
        </w:rPr>
        <w:t>5、因环境污染造成设区的市级以上城市集中式饮用水水源地取水中断的；</w:t>
      </w:r>
      <w:bookmarkEnd w:id="86"/>
      <w:bookmarkEnd w:id="87"/>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88" w:name="_Toc30479"/>
      <w:bookmarkStart w:id="89" w:name="_Toc13358"/>
      <w:r>
        <w:rPr>
          <w:rFonts w:hint="eastAsia" w:ascii="仿宋_GB2312" w:hAnsi="仿宋_GB2312" w:eastAsia="仿宋_GB2312" w:cs="仿宋_GB2312"/>
          <w:color w:val="auto"/>
          <w:kern w:val="2"/>
          <w:sz w:val="28"/>
          <w:szCs w:val="28"/>
          <w:lang w:val="en-US" w:eastAsia="zh-CN" w:bidi="ar-SA"/>
        </w:rPr>
        <w:t>6、Ⅰ、Ⅱ类放射源丢失、被盗、失控并造成大范围严重辐射污染后果的；放射性同位素和射线装置失控导致3人以上急性死亡的；放射性物质泄漏，造成大范围辐射污染后果的；</w:t>
      </w:r>
      <w:bookmarkEnd w:id="88"/>
      <w:bookmarkEnd w:id="89"/>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90" w:name="_Toc2321"/>
      <w:bookmarkStart w:id="91" w:name="_Toc19362"/>
      <w:r>
        <w:rPr>
          <w:rFonts w:hint="eastAsia" w:ascii="仿宋_GB2312" w:hAnsi="仿宋_GB2312" w:eastAsia="仿宋_GB2312" w:cs="仿宋_GB2312"/>
          <w:color w:val="auto"/>
          <w:kern w:val="2"/>
          <w:sz w:val="28"/>
          <w:szCs w:val="28"/>
          <w:lang w:val="en-US" w:eastAsia="zh-CN" w:bidi="ar-SA"/>
        </w:rPr>
        <w:t>7、造成重大跨国境影响的境内突发环境事件。</w:t>
      </w:r>
      <w:bookmarkEnd w:id="90"/>
      <w:bookmarkEnd w:id="91"/>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w:t>
      </w:r>
      <w:bookmarkStart w:id="92" w:name="_Toc24534"/>
      <w:bookmarkStart w:id="93" w:name="_Toc24518"/>
      <w:r>
        <w:rPr>
          <w:rFonts w:hint="eastAsia" w:ascii="仿宋_GB2312" w:hAnsi="仿宋_GB2312" w:eastAsia="仿宋_GB2312" w:cs="仿宋_GB2312"/>
          <w:color w:val="auto"/>
          <w:kern w:val="2"/>
          <w:sz w:val="28"/>
          <w:szCs w:val="28"/>
          <w:lang w:val="en-US" w:eastAsia="zh-CN" w:bidi="ar-SA"/>
        </w:rPr>
        <w:t>（二）重大突发环境事件</w:t>
      </w:r>
      <w:bookmarkEnd w:id="92"/>
      <w:bookmarkEnd w:id="93"/>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94" w:name="_Toc1113"/>
      <w:bookmarkStart w:id="95" w:name="_Toc19789"/>
      <w:r>
        <w:rPr>
          <w:rFonts w:hint="eastAsia" w:ascii="仿宋_GB2312" w:hAnsi="仿宋_GB2312" w:eastAsia="仿宋_GB2312" w:cs="仿宋_GB2312"/>
          <w:color w:val="auto"/>
          <w:kern w:val="2"/>
          <w:sz w:val="28"/>
          <w:szCs w:val="28"/>
          <w:lang w:val="en-US" w:eastAsia="zh-CN" w:bidi="ar-SA"/>
        </w:rPr>
        <w:t>凡符合下列情形之一的，为重大突发环境事件；</w:t>
      </w:r>
      <w:bookmarkEnd w:id="94"/>
      <w:bookmarkEnd w:id="95"/>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96" w:name="_Toc28362"/>
      <w:bookmarkStart w:id="97" w:name="_Toc6806"/>
      <w:r>
        <w:rPr>
          <w:rFonts w:hint="eastAsia" w:ascii="仿宋_GB2312" w:hAnsi="仿宋_GB2312" w:eastAsia="仿宋_GB2312" w:cs="仿宋_GB2312"/>
          <w:color w:val="auto"/>
          <w:kern w:val="2"/>
          <w:sz w:val="28"/>
          <w:szCs w:val="28"/>
          <w:lang w:val="en-US" w:eastAsia="zh-CN" w:bidi="ar-SA"/>
        </w:rPr>
        <w:t>1、因环境污染直接导致10人以上30人以下死亡或50人以上100人以下中毒或重伤的；</w:t>
      </w:r>
      <w:bookmarkEnd w:id="96"/>
      <w:bookmarkEnd w:id="97"/>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98" w:name="_Toc28727"/>
      <w:bookmarkStart w:id="99" w:name="_Toc19128"/>
      <w:r>
        <w:rPr>
          <w:rFonts w:hint="eastAsia" w:ascii="仿宋_GB2312" w:hAnsi="仿宋_GB2312" w:eastAsia="仿宋_GB2312" w:cs="仿宋_GB2312"/>
          <w:color w:val="auto"/>
          <w:kern w:val="2"/>
          <w:sz w:val="28"/>
          <w:szCs w:val="28"/>
          <w:lang w:val="en-US" w:eastAsia="zh-CN" w:bidi="ar-SA"/>
        </w:rPr>
        <w:t>2、因环境污染疏散、转移人员1万人以上5万人以下的；</w:t>
      </w:r>
      <w:bookmarkEnd w:id="98"/>
      <w:bookmarkEnd w:id="99"/>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00" w:name="_Toc3999"/>
      <w:bookmarkStart w:id="101" w:name="_Toc17374"/>
      <w:r>
        <w:rPr>
          <w:rFonts w:hint="eastAsia" w:ascii="仿宋_GB2312" w:hAnsi="仿宋_GB2312" w:eastAsia="仿宋_GB2312" w:cs="仿宋_GB2312"/>
          <w:color w:val="auto"/>
          <w:kern w:val="2"/>
          <w:sz w:val="28"/>
          <w:szCs w:val="28"/>
          <w:lang w:val="en-US" w:eastAsia="zh-CN" w:bidi="ar-SA"/>
        </w:rPr>
        <w:t>3、因环境污染造成直接经济损失2000万元以上1亿元以下的；</w:t>
      </w:r>
      <w:bookmarkEnd w:id="100"/>
      <w:bookmarkEnd w:id="101"/>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02" w:name="_Toc21646"/>
      <w:bookmarkStart w:id="103" w:name="_Toc11757"/>
      <w:r>
        <w:rPr>
          <w:rFonts w:hint="eastAsia" w:ascii="仿宋_GB2312" w:hAnsi="仿宋_GB2312" w:eastAsia="仿宋_GB2312" w:cs="仿宋_GB2312"/>
          <w:color w:val="auto"/>
          <w:kern w:val="2"/>
          <w:sz w:val="28"/>
          <w:szCs w:val="28"/>
          <w:lang w:val="en-US" w:eastAsia="zh-CN" w:bidi="ar-SA"/>
        </w:rPr>
        <w:t>4、因环境污染造成区域生态功能部分丧失或该区域国家重点保护野生动植物种群大批死亡的；</w:t>
      </w:r>
      <w:bookmarkEnd w:id="102"/>
      <w:bookmarkEnd w:id="103"/>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04" w:name="_Toc12734"/>
      <w:bookmarkStart w:id="105" w:name="_Toc32550"/>
      <w:r>
        <w:rPr>
          <w:rFonts w:hint="eastAsia" w:ascii="仿宋_GB2312" w:hAnsi="仿宋_GB2312" w:eastAsia="仿宋_GB2312" w:cs="仿宋_GB2312"/>
          <w:color w:val="auto"/>
          <w:kern w:val="2"/>
          <w:sz w:val="28"/>
          <w:szCs w:val="28"/>
          <w:lang w:val="en-US" w:eastAsia="zh-CN" w:bidi="ar-SA"/>
        </w:rPr>
        <w:t>5、因环境污染造成县级城市集中式饮用水水源地取水中断的；</w:t>
      </w:r>
      <w:bookmarkEnd w:id="104"/>
      <w:bookmarkEnd w:id="105"/>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06" w:name="_Toc5608"/>
      <w:bookmarkStart w:id="107" w:name="_Toc28025"/>
      <w:r>
        <w:rPr>
          <w:rFonts w:hint="eastAsia" w:ascii="仿宋_GB2312" w:hAnsi="仿宋_GB2312" w:eastAsia="仿宋_GB2312" w:cs="仿宋_GB2312"/>
          <w:color w:val="auto"/>
          <w:kern w:val="2"/>
          <w:sz w:val="28"/>
          <w:szCs w:val="28"/>
          <w:lang w:val="en-US" w:eastAsia="zh-CN" w:bidi="ar-SA"/>
        </w:rPr>
        <w:t>6、Ⅰ、Ⅱ类放射源丢失、被盗的；放射性同位素和射线装置失控导致3人以下急性死亡或者10人以上急性重度放射病、局部器官残疾的；放射性物质泄漏，造成较大范围辐射污染后果的；</w:t>
      </w:r>
      <w:bookmarkEnd w:id="106"/>
      <w:bookmarkEnd w:id="107"/>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08" w:name="_Toc14119"/>
      <w:bookmarkStart w:id="109" w:name="_Toc3065"/>
      <w:r>
        <w:rPr>
          <w:rFonts w:hint="eastAsia" w:ascii="仿宋_GB2312" w:hAnsi="仿宋_GB2312" w:eastAsia="仿宋_GB2312" w:cs="仿宋_GB2312"/>
          <w:color w:val="auto"/>
          <w:kern w:val="2"/>
          <w:sz w:val="28"/>
          <w:szCs w:val="28"/>
          <w:lang w:val="en-US" w:eastAsia="zh-CN" w:bidi="ar-SA"/>
        </w:rPr>
        <w:t>7、造成跨省级行政区域影响的突发环境事件。</w:t>
      </w:r>
      <w:bookmarkEnd w:id="108"/>
      <w:bookmarkEnd w:id="109"/>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w:t>
      </w:r>
      <w:bookmarkStart w:id="110" w:name="_Toc26467"/>
      <w:bookmarkStart w:id="111" w:name="_Toc1470"/>
      <w:r>
        <w:rPr>
          <w:rFonts w:hint="eastAsia" w:ascii="仿宋_GB2312" w:hAnsi="仿宋_GB2312" w:eastAsia="仿宋_GB2312" w:cs="仿宋_GB2312"/>
          <w:color w:val="auto"/>
          <w:kern w:val="2"/>
          <w:sz w:val="28"/>
          <w:szCs w:val="28"/>
          <w:lang w:val="en-US" w:eastAsia="zh-CN" w:bidi="ar-SA"/>
        </w:rPr>
        <w:t>（三）较大突发环境事件</w:t>
      </w:r>
      <w:bookmarkEnd w:id="110"/>
      <w:bookmarkEnd w:id="111"/>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12" w:name="_Toc25401"/>
      <w:bookmarkStart w:id="113" w:name="_Toc9101"/>
      <w:r>
        <w:rPr>
          <w:rFonts w:hint="eastAsia" w:ascii="仿宋_GB2312" w:hAnsi="仿宋_GB2312" w:eastAsia="仿宋_GB2312" w:cs="仿宋_GB2312"/>
          <w:color w:val="auto"/>
          <w:kern w:val="2"/>
          <w:sz w:val="28"/>
          <w:szCs w:val="28"/>
          <w:lang w:val="en-US" w:eastAsia="zh-CN" w:bidi="ar-SA"/>
        </w:rPr>
        <w:t>凡符合下列情形之一的，为较大突发环境事件；</w:t>
      </w:r>
      <w:bookmarkEnd w:id="112"/>
      <w:bookmarkEnd w:id="113"/>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14" w:name="_Toc12488"/>
      <w:bookmarkStart w:id="115" w:name="_Toc18424"/>
      <w:r>
        <w:rPr>
          <w:rFonts w:hint="eastAsia" w:ascii="仿宋_GB2312" w:hAnsi="仿宋_GB2312" w:eastAsia="仿宋_GB2312" w:cs="仿宋_GB2312"/>
          <w:color w:val="auto"/>
          <w:kern w:val="2"/>
          <w:sz w:val="28"/>
          <w:szCs w:val="28"/>
          <w:lang w:val="en-US" w:eastAsia="zh-CN" w:bidi="ar-SA"/>
        </w:rPr>
        <w:t>1、因环境污染直接导致3人以上10人以下死亡或10人以上50人以下中毒或重伤的；</w:t>
      </w:r>
      <w:bookmarkEnd w:id="114"/>
      <w:bookmarkEnd w:id="115"/>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16" w:name="_Toc4308"/>
      <w:bookmarkStart w:id="117" w:name="_Toc17318"/>
      <w:r>
        <w:rPr>
          <w:rFonts w:hint="eastAsia" w:ascii="仿宋_GB2312" w:hAnsi="仿宋_GB2312" w:eastAsia="仿宋_GB2312" w:cs="仿宋_GB2312"/>
          <w:color w:val="auto"/>
          <w:kern w:val="2"/>
          <w:sz w:val="28"/>
          <w:szCs w:val="28"/>
          <w:lang w:val="en-US" w:eastAsia="zh-CN" w:bidi="ar-SA"/>
        </w:rPr>
        <w:t>2、因环境污染疏散、转移人员5000人以上1万人以下的；</w:t>
      </w:r>
      <w:bookmarkEnd w:id="116"/>
      <w:bookmarkEnd w:id="117"/>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18" w:name="_Toc12982"/>
      <w:bookmarkStart w:id="119" w:name="_Toc11904"/>
      <w:r>
        <w:rPr>
          <w:rFonts w:hint="eastAsia" w:ascii="仿宋_GB2312" w:hAnsi="仿宋_GB2312" w:eastAsia="仿宋_GB2312" w:cs="仿宋_GB2312"/>
          <w:color w:val="auto"/>
          <w:kern w:val="2"/>
          <w:sz w:val="28"/>
          <w:szCs w:val="28"/>
          <w:lang w:val="en-US" w:eastAsia="zh-CN" w:bidi="ar-SA"/>
        </w:rPr>
        <w:t>3、因环境污染造成直接经济损失500万元以上2000万元以下的；</w:t>
      </w:r>
      <w:bookmarkEnd w:id="118"/>
      <w:bookmarkEnd w:id="119"/>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20" w:name="_Toc29298"/>
      <w:bookmarkStart w:id="121" w:name="_Toc18996"/>
      <w:r>
        <w:rPr>
          <w:rFonts w:hint="eastAsia" w:ascii="仿宋_GB2312" w:hAnsi="仿宋_GB2312" w:eastAsia="仿宋_GB2312" w:cs="仿宋_GB2312"/>
          <w:color w:val="auto"/>
          <w:kern w:val="2"/>
          <w:sz w:val="28"/>
          <w:szCs w:val="28"/>
          <w:lang w:val="en-US" w:eastAsia="zh-CN" w:bidi="ar-SA"/>
        </w:rPr>
        <w:t>4、因环境污染造成国家重点保护的动植物物种受到破坏的；</w:t>
      </w:r>
      <w:bookmarkEnd w:id="120"/>
      <w:bookmarkEnd w:id="121"/>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22" w:name="_Toc16581"/>
      <w:bookmarkStart w:id="123" w:name="_Toc16513"/>
      <w:r>
        <w:rPr>
          <w:rFonts w:hint="eastAsia" w:ascii="仿宋_GB2312" w:hAnsi="仿宋_GB2312" w:eastAsia="仿宋_GB2312" w:cs="仿宋_GB2312"/>
          <w:color w:val="auto"/>
          <w:kern w:val="2"/>
          <w:sz w:val="28"/>
          <w:szCs w:val="28"/>
          <w:lang w:val="en-US" w:eastAsia="zh-CN" w:bidi="ar-SA"/>
        </w:rPr>
        <w:t>5、因环境污染造成乡镇集中式饮用水水源地取水中断的；</w:t>
      </w:r>
      <w:bookmarkEnd w:id="122"/>
      <w:bookmarkEnd w:id="123"/>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24" w:name="_Toc29740"/>
      <w:bookmarkStart w:id="125" w:name="_Toc9932"/>
      <w:r>
        <w:rPr>
          <w:rFonts w:hint="eastAsia" w:ascii="仿宋_GB2312" w:hAnsi="仿宋_GB2312" w:eastAsia="仿宋_GB2312" w:cs="仿宋_GB2312"/>
          <w:color w:val="auto"/>
          <w:kern w:val="2"/>
          <w:sz w:val="28"/>
          <w:szCs w:val="28"/>
          <w:lang w:val="en-US" w:eastAsia="zh-CN" w:bidi="ar-SA"/>
        </w:rPr>
        <w:t>6、Ⅲ类放射源丢失、被盗的；放射性同位素和射线装置失控导致10人以下急性重度放射病、局部器官残疾的；放射性物质泄漏，造成小范围辐射污染后果的；</w:t>
      </w:r>
      <w:bookmarkEnd w:id="124"/>
      <w:bookmarkEnd w:id="125"/>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26" w:name="_Toc27139"/>
      <w:bookmarkStart w:id="127" w:name="_Toc26634"/>
      <w:r>
        <w:rPr>
          <w:rFonts w:hint="eastAsia" w:ascii="仿宋_GB2312" w:hAnsi="仿宋_GB2312" w:eastAsia="仿宋_GB2312" w:cs="仿宋_GB2312"/>
          <w:color w:val="auto"/>
          <w:kern w:val="2"/>
          <w:sz w:val="28"/>
          <w:szCs w:val="28"/>
          <w:lang w:val="en-US" w:eastAsia="zh-CN" w:bidi="ar-SA"/>
        </w:rPr>
        <w:t>7、造成跨设区的市级行政区域影响的突发环境事件。</w:t>
      </w:r>
      <w:bookmarkEnd w:id="126"/>
      <w:bookmarkEnd w:id="127"/>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w:t>
      </w:r>
      <w:bookmarkStart w:id="128" w:name="_Toc22217"/>
      <w:bookmarkStart w:id="129" w:name="_Toc6369"/>
      <w:r>
        <w:rPr>
          <w:rFonts w:hint="eastAsia" w:ascii="仿宋_GB2312" w:hAnsi="仿宋_GB2312" w:eastAsia="仿宋_GB2312" w:cs="仿宋_GB2312"/>
          <w:color w:val="auto"/>
          <w:kern w:val="2"/>
          <w:sz w:val="28"/>
          <w:szCs w:val="28"/>
          <w:lang w:val="en-US" w:eastAsia="zh-CN" w:bidi="ar-SA"/>
        </w:rPr>
        <w:t>（四）一般突发环境事件</w:t>
      </w:r>
      <w:bookmarkEnd w:id="128"/>
      <w:bookmarkEnd w:id="129"/>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30" w:name="_Toc27209"/>
      <w:bookmarkStart w:id="131" w:name="_Toc30166"/>
      <w:r>
        <w:rPr>
          <w:rFonts w:hint="eastAsia" w:ascii="仿宋_GB2312" w:hAnsi="仿宋_GB2312" w:eastAsia="仿宋_GB2312" w:cs="仿宋_GB2312"/>
          <w:color w:val="auto"/>
          <w:kern w:val="2"/>
          <w:sz w:val="28"/>
          <w:szCs w:val="28"/>
          <w:lang w:val="en-US" w:eastAsia="zh-CN" w:bidi="ar-SA"/>
        </w:rPr>
        <w:t>凡符合下列情形之一的，为一般突发环境事件；</w:t>
      </w:r>
      <w:bookmarkEnd w:id="130"/>
      <w:bookmarkEnd w:id="131"/>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32" w:name="_Toc5182"/>
      <w:bookmarkStart w:id="133" w:name="_Toc26870"/>
      <w:r>
        <w:rPr>
          <w:rFonts w:hint="eastAsia" w:ascii="仿宋_GB2312" w:hAnsi="仿宋_GB2312" w:eastAsia="仿宋_GB2312" w:cs="仿宋_GB2312"/>
          <w:color w:val="auto"/>
          <w:kern w:val="2"/>
          <w:sz w:val="28"/>
          <w:szCs w:val="28"/>
          <w:lang w:val="en-US" w:eastAsia="zh-CN" w:bidi="ar-SA"/>
        </w:rPr>
        <w:t>1、因环境污染直接导致3人以下死亡或10人以下中毒或重伤的；</w:t>
      </w:r>
      <w:bookmarkEnd w:id="132"/>
      <w:bookmarkEnd w:id="133"/>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34" w:name="_Toc21298"/>
      <w:bookmarkStart w:id="135" w:name="_Toc10317"/>
      <w:r>
        <w:rPr>
          <w:rFonts w:hint="eastAsia" w:ascii="仿宋_GB2312" w:hAnsi="仿宋_GB2312" w:eastAsia="仿宋_GB2312" w:cs="仿宋_GB2312"/>
          <w:color w:val="auto"/>
          <w:kern w:val="2"/>
          <w:sz w:val="28"/>
          <w:szCs w:val="28"/>
          <w:lang w:val="en-US" w:eastAsia="zh-CN" w:bidi="ar-SA"/>
        </w:rPr>
        <w:t>2、因环境污染疏散、转移人员5000人以下的；</w:t>
      </w:r>
      <w:bookmarkEnd w:id="134"/>
      <w:bookmarkEnd w:id="135"/>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36" w:name="_Toc24912"/>
      <w:bookmarkStart w:id="137" w:name="_Toc15382"/>
      <w:r>
        <w:rPr>
          <w:rFonts w:hint="eastAsia" w:ascii="仿宋_GB2312" w:hAnsi="仿宋_GB2312" w:eastAsia="仿宋_GB2312" w:cs="仿宋_GB2312"/>
          <w:color w:val="auto"/>
          <w:kern w:val="2"/>
          <w:sz w:val="28"/>
          <w:szCs w:val="28"/>
          <w:lang w:val="en-US" w:eastAsia="zh-CN" w:bidi="ar-SA"/>
        </w:rPr>
        <w:t>3、因环境污染造成直接经济损失500万元以下的；</w:t>
      </w:r>
      <w:bookmarkEnd w:id="136"/>
      <w:bookmarkEnd w:id="137"/>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38" w:name="_Toc4532"/>
      <w:bookmarkStart w:id="139" w:name="_Toc30594"/>
      <w:r>
        <w:rPr>
          <w:rFonts w:hint="eastAsia" w:ascii="仿宋_GB2312" w:hAnsi="仿宋_GB2312" w:eastAsia="仿宋_GB2312" w:cs="仿宋_GB2312"/>
          <w:color w:val="auto"/>
          <w:kern w:val="2"/>
          <w:sz w:val="28"/>
          <w:szCs w:val="28"/>
          <w:lang w:val="en-US" w:eastAsia="zh-CN" w:bidi="ar-SA"/>
        </w:rPr>
        <w:t>4、因环境污染造跨县级行政区域纠纷，引起一般性群体影响的；</w:t>
      </w:r>
      <w:bookmarkEnd w:id="138"/>
      <w:bookmarkEnd w:id="139"/>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40" w:name="_Toc32061"/>
      <w:bookmarkStart w:id="141" w:name="_Toc23638"/>
      <w:r>
        <w:rPr>
          <w:rFonts w:hint="eastAsia" w:ascii="仿宋_GB2312" w:hAnsi="仿宋_GB2312" w:eastAsia="仿宋_GB2312" w:cs="仿宋_GB2312"/>
          <w:color w:val="auto"/>
          <w:kern w:val="2"/>
          <w:sz w:val="28"/>
          <w:szCs w:val="28"/>
          <w:lang w:val="en-US" w:eastAsia="zh-CN" w:bidi="ar-SA"/>
        </w:rPr>
        <w:t>5、Ⅳ、Ⅴ类放射源丢失、被盗的；放射性同位素和射线装置失控导致人员收到超过年剂量限值的照射的；放射性物质泄漏，造成厂区内或设施内局部辐射污染后果的；铀矿冶、伴生矿超标排放，造成环境辐射污染后果的；</w:t>
      </w:r>
      <w:bookmarkEnd w:id="140"/>
      <w:bookmarkEnd w:id="141"/>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42" w:name="_Toc23987"/>
      <w:bookmarkStart w:id="143" w:name="_Toc13889"/>
      <w:r>
        <w:rPr>
          <w:rFonts w:hint="eastAsia" w:ascii="仿宋_GB2312" w:hAnsi="仿宋_GB2312" w:eastAsia="仿宋_GB2312" w:cs="仿宋_GB2312"/>
          <w:color w:val="auto"/>
          <w:kern w:val="2"/>
          <w:sz w:val="28"/>
          <w:szCs w:val="28"/>
          <w:lang w:val="en-US" w:eastAsia="zh-CN" w:bidi="ar-SA"/>
        </w:rPr>
        <w:t>6、对环境造成一定的影响，尚未达到较大突发环境事件级别的。</w:t>
      </w:r>
      <w:bookmarkEnd w:id="142"/>
      <w:bookmarkEnd w:id="143"/>
    </w:p>
    <w:p>
      <w:pPr>
        <w:pStyle w:val="11"/>
        <w:widowControl/>
        <w:wordWrap/>
        <w:adjustRightInd w:val="0"/>
        <w:snapToGrid w:val="0"/>
        <w:spacing w:before="0" w:beforeAutospacing="0" w:after="0" w:afterAutospacing="0" w:line="560" w:lineRule="exact"/>
        <w:ind w:left="0" w:leftChars="0" w:right="0" w:firstLine="0" w:firstLineChars="0"/>
        <w:jc w:val="left"/>
        <w:textAlignment w:val="auto"/>
        <w:outlineLvl w:val="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bookmarkStart w:id="144" w:name="_Toc18315"/>
      <w:bookmarkStart w:id="145" w:name="_Toc26166"/>
      <w:r>
        <w:rPr>
          <w:rFonts w:hint="eastAsia" w:ascii="仿宋_GB2312" w:hAnsi="仿宋_GB2312" w:eastAsia="仿宋_GB2312" w:cs="仿宋_GB2312"/>
          <w:color w:val="auto"/>
          <w:kern w:val="2"/>
          <w:sz w:val="28"/>
          <w:szCs w:val="28"/>
          <w:lang w:val="en-US" w:eastAsia="zh-CN" w:bidi="ar-SA"/>
        </w:rPr>
        <w:t>上述分级标准有关数量的表述中，“以上”含本数，“以下”不含本数。</w:t>
      </w:r>
      <w:bookmarkEnd w:id="144"/>
      <w:bookmarkEnd w:id="145"/>
    </w:p>
    <w:p>
      <w:pPr>
        <w:pStyle w:val="12"/>
        <w:spacing w:line="560" w:lineRule="exact"/>
        <w:outlineLvl w:val="0"/>
        <w:rPr>
          <w:rFonts w:ascii="Times New Roman" w:hAnsi="Times New Roman" w:eastAsia="仿宋_GB2312" w:cs="Times New Roman"/>
          <w:b/>
          <w:bCs w:val="0"/>
          <w:sz w:val="28"/>
          <w:szCs w:val="28"/>
        </w:rPr>
      </w:pPr>
      <w:bookmarkStart w:id="146" w:name="_Toc4122"/>
      <w:bookmarkStart w:id="147" w:name="_Toc19209"/>
      <w:bookmarkStart w:id="148" w:name="_Toc22634"/>
      <w:bookmarkStart w:id="149" w:name="_Toc399665387"/>
      <w:bookmarkStart w:id="150" w:name="_Toc402516900"/>
      <w:r>
        <w:rPr>
          <w:rFonts w:hint="eastAsia" w:ascii="仿宋_GB2312" w:hAnsi="仿宋_GB2312" w:eastAsia="仿宋_GB2312" w:cs="仿宋_GB2312"/>
          <w:b/>
          <w:bCs/>
          <w:kern w:val="2"/>
          <w:sz w:val="28"/>
          <w:szCs w:val="28"/>
          <w:lang w:val="en-US" w:eastAsia="zh-CN" w:bidi="ar-SA"/>
        </w:rPr>
        <w:t>1.3.1 公司突发环境</w:t>
      </w:r>
      <w:r>
        <w:rPr>
          <w:rFonts w:ascii="Times New Roman" w:hAnsi="Times New Roman" w:eastAsia="仿宋_GB2312" w:cs="Times New Roman"/>
          <w:b/>
          <w:bCs w:val="0"/>
          <w:sz w:val="28"/>
          <w:szCs w:val="28"/>
        </w:rPr>
        <w:t>事件分级</w:t>
      </w:r>
      <w:bookmarkEnd w:id="146"/>
      <w:bookmarkEnd w:id="147"/>
      <w:bookmarkEnd w:id="148"/>
    </w:p>
    <w:p>
      <w:pPr>
        <w:pStyle w:val="12"/>
        <w:spacing w:line="560" w:lineRule="exact"/>
        <w:outlineLvl w:val="0"/>
        <w:rPr>
          <w:rFonts w:hint="eastAsia" w:ascii="Times New Roman" w:hAnsi="Times New Roman" w:eastAsia="仿宋_GB2312" w:cs="Times New Roman"/>
          <w:b/>
          <w:bCs w:val="0"/>
          <w:sz w:val="28"/>
          <w:szCs w:val="28"/>
          <w:lang w:val="en-US" w:eastAsia="zh-CN"/>
        </w:rPr>
      </w:pPr>
      <w:r>
        <w:rPr>
          <w:rFonts w:hint="eastAsia" w:ascii="Times New Roman" w:hAnsi="Times New Roman" w:eastAsia="仿宋_GB2312" w:cs="Times New Roman"/>
          <w:b/>
          <w:bCs w:val="0"/>
          <w:sz w:val="28"/>
          <w:szCs w:val="28"/>
          <w:lang w:val="en-US" w:eastAsia="zh-CN"/>
        </w:rPr>
        <w:t xml:space="preserve">    </w:t>
      </w:r>
      <w:bookmarkStart w:id="151" w:name="_Toc31495"/>
      <w:bookmarkStart w:id="152" w:name="_Toc5487"/>
      <w:bookmarkStart w:id="153" w:name="_Toc2571"/>
      <w:r>
        <w:rPr>
          <w:rFonts w:hint="eastAsia" w:ascii="Times New Roman" w:hAnsi="Times New Roman" w:eastAsia="仿宋_GB2312" w:cs="Times New Roman"/>
          <w:b w:val="0"/>
          <w:bCs/>
          <w:sz w:val="28"/>
          <w:szCs w:val="28"/>
          <w:lang w:val="en-US" w:eastAsia="zh-CN"/>
        </w:rPr>
        <w:t>根据国家突发环境事件分级标准，并结合公司实际，将我公司突发环境事件分级如下：</w:t>
      </w:r>
      <w:bookmarkEnd w:id="151"/>
      <w:bookmarkEnd w:id="152"/>
      <w:bookmarkEnd w:id="153"/>
    </w:p>
    <w:bookmarkEnd w:id="149"/>
    <w:bookmarkEnd w:id="150"/>
    <w:p>
      <w:pPr>
        <w:pStyle w:val="12"/>
        <w:spacing w:line="560" w:lineRule="exact"/>
        <w:outlineLvl w:val="0"/>
        <w:rPr>
          <w:rFonts w:hint="eastAsia" w:ascii="仿宋_GB2312" w:hAnsi="仿宋_GB2312" w:eastAsia="仿宋_GB2312" w:cs="仿宋_GB2312"/>
          <w:bCs w:val="0"/>
          <w:kern w:val="2"/>
          <w:sz w:val="28"/>
          <w:szCs w:val="28"/>
          <w:lang w:val="en-US" w:eastAsia="zh-CN" w:bidi="ar-SA"/>
        </w:rPr>
      </w:pPr>
      <w:bookmarkStart w:id="154" w:name="_Toc14919"/>
      <w:bookmarkStart w:id="155" w:name="_Toc12237"/>
      <w:bookmarkStart w:id="156" w:name="_Toc28960"/>
      <w:r>
        <w:rPr>
          <w:rFonts w:hint="eastAsia" w:ascii="仿宋_GB2312" w:hAnsi="仿宋_GB2312" w:eastAsia="仿宋_GB2312" w:cs="仿宋_GB2312"/>
          <w:b/>
          <w:bCs/>
          <w:kern w:val="2"/>
          <w:sz w:val="28"/>
          <w:szCs w:val="28"/>
          <w:lang w:val="en-US" w:eastAsia="zh-CN" w:bidi="ar-SA"/>
        </w:rPr>
        <w:t>1.3.2 重大环境事件（一级） </w:t>
      </w:r>
      <w:bookmarkEnd w:id="154"/>
      <w:bookmarkEnd w:id="155"/>
      <w:bookmarkEnd w:id="156"/>
    </w:p>
    <w:p>
      <w:pPr>
        <w:spacing w:line="560" w:lineRule="exact"/>
        <w:outlineLvl w:val="0"/>
        <w:rPr>
          <w:rFonts w:hint="eastAsia" w:ascii="仿宋_GB2312" w:hAnsi="仿宋_GB2312" w:eastAsia="仿宋_GB2312" w:cs="仿宋_GB2312"/>
          <w:bCs w:val="0"/>
          <w:kern w:val="2"/>
          <w:sz w:val="28"/>
          <w:szCs w:val="28"/>
          <w:lang w:val="en-US" w:eastAsia="zh-CN" w:bidi="ar-SA"/>
        </w:rPr>
      </w:pPr>
      <w:r>
        <w:rPr>
          <w:rFonts w:hint="eastAsia" w:ascii="仿宋_GB2312" w:hAnsi="仿宋_GB2312" w:eastAsia="仿宋_GB2312" w:cs="仿宋_GB2312"/>
          <w:bCs w:val="0"/>
          <w:kern w:val="2"/>
          <w:sz w:val="28"/>
          <w:szCs w:val="28"/>
          <w:lang w:val="en-US" w:eastAsia="zh-CN" w:bidi="ar-SA"/>
        </w:rPr>
        <w:t xml:space="preserve">    </w:t>
      </w:r>
      <w:bookmarkStart w:id="157" w:name="_Toc19316"/>
      <w:bookmarkStart w:id="158" w:name="_Toc18920"/>
      <w:r>
        <w:rPr>
          <w:rFonts w:hint="eastAsia" w:ascii="仿宋_GB2312" w:hAnsi="仿宋_GB2312" w:eastAsia="仿宋_GB2312" w:cs="仿宋_GB2312"/>
          <w:bCs w:val="0"/>
          <w:kern w:val="2"/>
          <w:sz w:val="28"/>
          <w:szCs w:val="28"/>
          <w:lang w:val="en-US" w:eastAsia="zh-CN" w:bidi="ar-SA"/>
        </w:rPr>
        <w:t>①发生3人以上死亡，或中毒（重伤）10人以上受伤，或100万元以上直接经济损失； </w:t>
      </w:r>
      <w:bookmarkEnd w:id="157"/>
      <w:bookmarkEnd w:id="158"/>
    </w:p>
    <w:p>
      <w:pPr>
        <w:spacing w:line="560" w:lineRule="exact"/>
        <w:outlineLvl w:val="0"/>
        <w:rPr>
          <w:rFonts w:hint="eastAsia" w:ascii="仿宋_GB2312" w:hAnsi="仿宋_GB2312" w:eastAsia="仿宋_GB2312" w:cs="仿宋_GB2312"/>
          <w:bCs w:val="0"/>
          <w:kern w:val="2"/>
          <w:sz w:val="28"/>
          <w:szCs w:val="28"/>
          <w:lang w:val="en-US" w:eastAsia="zh-CN" w:bidi="ar-SA"/>
        </w:rPr>
      </w:pPr>
      <w:r>
        <w:rPr>
          <w:rFonts w:hint="eastAsia" w:ascii="仿宋_GB2312" w:hAnsi="仿宋_GB2312" w:eastAsia="仿宋_GB2312" w:cs="仿宋_GB2312"/>
          <w:bCs w:val="0"/>
          <w:kern w:val="2"/>
          <w:sz w:val="28"/>
          <w:szCs w:val="28"/>
          <w:lang w:val="en-US" w:eastAsia="zh-CN" w:bidi="ar-SA"/>
        </w:rPr>
        <w:t xml:space="preserve">    </w:t>
      </w:r>
      <w:bookmarkStart w:id="159" w:name="_Toc29159"/>
      <w:bookmarkStart w:id="160" w:name="_Toc20389"/>
      <w:r>
        <w:rPr>
          <w:rFonts w:hint="eastAsia" w:ascii="仿宋_GB2312" w:hAnsi="仿宋_GB2312" w:eastAsia="仿宋_GB2312" w:cs="仿宋_GB2312"/>
          <w:bCs w:val="0"/>
          <w:kern w:val="2"/>
          <w:sz w:val="28"/>
          <w:szCs w:val="28"/>
          <w:lang w:val="en-US" w:eastAsia="zh-CN" w:bidi="ar-SA"/>
        </w:rPr>
        <w:t>②区域生态功能部分丧失或濒危物种生存环境受到污染； </w:t>
      </w:r>
      <w:bookmarkEnd w:id="159"/>
      <w:bookmarkEnd w:id="160"/>
    </w:p>
    <w:p>
      <w:pPr>
        <w:spacing w:line="560" w:lineRule="exact"/>
        <w:outlineLvl w:val="0"/>
        <w:rPr>
          <w:rFonts w:hint="eastAsia" w:ascii="仿宋_GB2312" w:hAnsi="仿宋_GB2312" w:eastAsia="仿宋_GB2312" w:cs="仿宋_GB2312"/>
          <w:bCs w:val="0"/>
          <w:kern w:val="2"/>
          <w:sz w:val="28"/>
          <w:szCs w:val="28"/>
          <w:lang w:val="en-US" w:eastAsia="zh-CN" w:bidi="ar-SA"/>
        </w:rPr>
      </w:pPr>
      <w:r>
        <w:rPr>
          <w:rFonts w:hint="eastAsia" w:ascii="仿宋_GB2312" w:hAnsi="仿宋_GB2312" w:eastAsia="仿宋_GB2312" w:cs="仿宋_GB2312"/>
          <w:bCs w:val="0"/>
          <w:kern w:val="2"/>
          <w:sz w:val="28"/>
          <w:szCs w:val="28"/>
          <w:lang w:val="en-US" w:eastAsia="zh-CN" w:bidi="ar-SA"/>
        </w:rPr>
        <w:t xml:space="preserve">    </w:t>
      </w:r>
      <w:bookmarkStart w:id="161" w:name="_Toc9541"/>
      <w:bookmarkStart w:id="162" w:name="_Toc8095"/>
      <w:r>
        <w:rPr>
          <w:rFonts w:hint="eastAsia" w:ascii="仿宋_GB2312" w:hAnsi="仿宋_GB2312" w:eastAsia="仿宋_GB2312" w:cs="仿宋_GB2312"/>
          <w:bCs w:val="0"/>
          <w:kern w:val="2"/>
          <w:sz w:val="28"/>
          <w:szCs w:val="28"/>
          <w:lang w:val="en-US" w:eastAsia="zh-CN" w:bidi="ar-SA"/>
        </w:rPr>
        <w:t>③污染物进入外环境，因环境污染，使当地经济、社会活动受到较大影响，疏散转移群众5000人以上的； </w:t>
      </w:r>
      <w:bookmarkEnd w:id="161"/>
      <w:bookmarkEnd w:id="162"/>
    </w:p>
    <w:p>
      <w:pPr>
        <w:spacing w:line="560" w:lineRule="exact"/>
        <w:outlineLvl w:val="0"/>
        <w:rPr>
          <w:rFonts w:hint="eastAsia" w:ascii="仿宋_GB2312" w:hAnsi="仿宋_GB2312" w:eastAsia="仿宋_GB2312" w:cs="仿宋_GB2312"/>
          <w:bCs w:val="0"/>
          <w:kern w:val="2"/>
          <w:sz w:val="28"/>
          <w:szCs w:val="28"/>
          <w:lang w:val="en-US" w:eastAsia="zh-CN" w:bidi="ar-SA"/>
        </w:rPr>
      </w:pPr>
      <w:r>
        <w:rPr>
          <w:rFonts w:hint="eastAsia" w:ascii="仿宋_GB2312" w:hAnsi="仿宋_GB2312" w:eastAsia="仿宋_GB2312" w:cs="仿宋_GB2312"/>
          <w:bCs w:val="0"/>
          <w:kern w:val="2"/>
          <w:sz w:val="28"/>
          <w:szCs w:val="28"/>
          <w:lang w:val="en-US" w:eastAsia="zh-CN" w:bidi="ar-SA"/>
        </w:rPr>
        <w:t xml:space="preserve">    </w:t>
      </w:r>
      <w:bookmarkStart w:id="163" w:name="_Toc7731"/>
      <w:bookmarkStart w:id="164" w:name="_Toc6099"/>
      <w:r>
        <w:rPr>
          <w:rFonts w:hint="eastAsia" w:ascii="仿宋_GB2312" w:hAnsi="仿宋_GB2312" w:eastAsia="仿宋_GB2312" w:cs="仿宋_GB2312"/>
          <w:bCs w:val="0"/>
          <w:kern w:val="2"/>
          <w:sz w:val="28"/>
          <w:szCs w:val="28"/>
          <w:lang w:val="en-US" w:eastAsia="zh-CN" w:bidi="ar-SA"/>
        </w:rPr>
        <w:t>④因环境污染造成，重要河流、湖泊、水库及水域大面积污染，或县级以上城镇水源地取水中断的污染事件。 </w:t>
      </w:r>
      <w:bookmarkEnd w:id="163"/>
      <w:bookmarkEnd w:id="164"/>
    </w:p>
    <w:p>
      <w:pPr>
        <w:spacing w:line="560" w:lineRule="exact"/>
        <w:outlineLvl w:val="0"/>
        <w:rPr>
          <w:rFonts w:hint="eastAsia" w:ascii="仿宋_GB2312" w:hAnsi="仿宋_GB2312" w:eastAsia="仿宋_GB2312" w:cs="仿宋_GB2312"/>
          <w:b/>
          <w:bCs/>
          <w:kern w:val="2"/>
          <w:sz w:val="28"/>
          <w:szCs w:val="28"/>
          <w:lang w:val="en-US" w:eastAsia="zh-CN" w:bidi="ar-SA"/>
        </w:rPr>
      </w:pPr>
      <w:bookmarkStart w:id="165" w:name="_Toc9410"/>
      <w:bookmarkStart w:id="166" w:name="_Toc5056"/>
      <w:r>
        <w:rPr>
          <w:rFonts w:hint="eastAsia" w:ascii="仿宋_GB2312" w:hAnsi="仿宋_GB2312" w:eastAsia="仿宋_GB2312" w:cs="仿宋_GB2312"/>
          <w:b/>
          <w:bCs/>
          <w:kern w:val="2"/>
          <w:sz w:val="28"/>
          <w:szCs w:val="28"/>
          <w:lang w:val="en-US" w:eastAsia="zh-CN" w:bidi="ar-SA"/>
        </w:rPr>
        <w:t>1.3.3 较大环境事件（二级） </w:t>
      </w:r>
      <w:bookmarkEnd w:id="165"/>
      <w:bookmarkEnd w:id="166"/>
    </w:p>
    <w:p>
      <w:pPr>
        <w:spacing w:line="560" w:lineRule="exact"/>
        <w:ind w:firstLine="523" w:firstLineChars="187"/>
        <w:outlineLvl w:val="0"/>
        <w:rPr>
          <w:rFonts w:hint="eastAsia" w:ascii="仿宋_GB2312" w:hAnsi="仿宋_GB2312" w:eastAsia="仿宋_GB2312" w:cs="仿宋_GB2312"/>
          <w:bCs w:val="0"/>
          <w:kern w:val="2"/>
          <w:sz w:val="28"/>
          <w:szCs w:val="28"/>
          <w:lang w:val="en-US" w:eastAsia="zh-CN" w:bidi="ar-SA"/>
        </w:rPr>
      </w:pPr>
      <w:bookmarkStart w:id="167" w:name="_Toc32188"/>
      <w:bookmarkStart w:id="168" w:name="_Toc23437"/>
      <w:r>
        <w:rPr>
          <w:rFonts w:hint="eastAsia" w:ascii="仿宋_GB2312" w:hAnsi="仿宋_GB2312" w:eastAsia="仿宋_GB2312" w:cs="仿宋_GB2312"/>
          <w:bCs w:val="0"/>
          <w:kern w:val="2"/>
          <w:sz w:val="28"/>
          <w:szCs w:val="28"/>
          <w:lang w:val="en-US" w:eastAsia="zh-CN" w:bidi="ar-SA"/>
        </w:rPr>
        <w:t>①发生1～2人死亡，或1～9人受伤，或100万元以下经济损失； </w:t>
      </w:r>
      <w:bookmarkEnd w:id="167"/>
      <w:bookmarkEnd w:id="168"/>
    </w:p>
    <w:p>
      <w:pPr>
        <w:spacing w:line="560" w:lineRule="exact"/>
        <w:ind w:firstLine="523" w:firstLineChars="187"/>
        <w:outlineLvl w:val="0"/>
        <w:rPr>
          <w:rFonts w:hint="eastAsia" w:ascii="仿宋_GB2312" w:hAnsi="仿宋_GB2312" w:eastAsia="仿宋_GB2312" w:cs="仿宋_GB2312"/>
          <w:bCs w:val="0"/>
          <w:kern w:val="2"/>
          <w:sz w:val="28"/>
          <w:szCs w:val="28"/>
          <w:lang w:val="en-US" w:eastAsia="zh-CN" w:bidi="ar-SA"/>
        </w:rPr>
      </w:pPr>
      <w:bookmarkStart w:id="169" w:name="_Toc10956"/>
      <w:bookmarkStart w:id="170" w:name="_Toc21972"/>
      <w:r>
        <w:rPr>
          <w:rFonts w:hint="eastAsia" w:ascii="仿宋_GB2312" w:hAnsi="仿宋_GB2312" w:eastAsia="仿宋_GB2312" w:cs="仿宋_GB2312"/>
          <w:bCs w:val="0"/>
          <w:kern w:val="2"/>
          <w:sz w:val="28"/>
          <w:szCs w:val="28"/>
          <w:lang w:val="en-US" w:eastAsia="zh-CN" w:bidi="ar-SA"/>
        </w:rPr>
        <w:t>②污染物被拦截在厂区内，未进入外环境，因环境污染造成厂内区域纠纷，使当地经济、社会活动受到影响；</w:t>
      </w:r>
      <w:bookmarkEnd w:id="169"/>
      <w:bookmarkEnd w:id="170"/>
    </w:p>
    <w:p>
      <w:pPr>
        <w:spacing w:line="560" w:lineRule="exact"/>
        <w:outlineLvl w:val="0"/>
        <w:rPr>
          <w:rFonts w:hint="eastAsia" w:ascii="仿宋_GB2312" w:hAnsi="仿宋_GB2312" w:eastAsia="仿宋_GB2312" w:cs="仿宋_GB2312"/>
          <w:b/>
          <w:bCs/>
          <w:kern w:val="2"/>
          <w:sz w:val="28"/>
          <w:szCs w:val="28"/>
          <w:lang w:val="en-US" w:eastAsia="zh-CN" w:bidi="ar-SA"/>
        </w:rPr>
      </w:pPr>
      <w:bookmarkStart w:id="171" w:name="_Toc16857"/>
      <w:bookmarkStart w:id="172" w:name="_Toc9385"/>
      <w:r>
        <w:rPr>
          <w:rFonts w:hint="eastAsia" w:ascii="仿宋_GB2312" w:hAnsi="仿宋_GB2312" w:eastAsia="仿宋_GB2312" w:cs="仿宋_GB2312"/>
          <w:b/>
          <w:bCs/>
          <w:kern w:val="2"/>
          <w:sz w:val="28"/>
          <w:szCs w:val="28"/>
          <w:lang w:val="en-US" w:eastAsia="zh-CN" w:bidi="ar-SA"/>
        </w:rPr>
        <w:t>1.3.4 一般环境事件（三级）</w:t>
      </w:r>
      <w:bookmarkEnd w:id="171"/>
      <w:bookmarkEnd w:id="172"/>
    </w:p>
    <w:p>
      <w:pPr>
        <w:spacing w:line="560" w:lineRule="exact"/>
        <w:outlineLvl w:val="0"/>
        <w:rPr>
          <w:rFonts w:hint="eastAsia" w:ascii="仿宋_GB2312" w:hAnsi="仿宋_GB2312" w:eastAsia="仿宋_GB2312" w:cs="仿宋_GB2312"/>
          <w:bCs w:val="0"/>
          <w:kern w:val="2"/>
          <w:sz w:val="28"/>
          <w:szCs w:val="28"/>
          <w:lang w:val="en-US" w:eastAsia="zh-CN" w:bidi="ar-SA"/>
        </w:rPr>
      </w:pPr>
      <w:r>
        <w:rPr>
          <w:rFonts w:hint="eastAsia" w:ascii="仿宋_GB2312" w:hAnsi="仿宋_GB2312" w:eastAsia="仿宋_GB2312" w:cs="仿宋_GB2312"/>
          <w:bCs w:val="0"/>
          <w:kern w:val="2"/>
          <w:sz w:val="28"/>
          <w:szCs w:val="28"/>
          <w:lang w:val="en-US" w:eastAsia="zh-CN" w:bidi="ar-SA"/>
        </w:rPr>
        <w:t xml:space="preserve">    </w:t>
      </w:r>
      <w:bookmarkStart w:id="173" w:name="_Toc3947"/>
      <w:bookmarkStart w:id="174" w:name="_Toc10013"/>
      <w:r>
        <w:rPr>
          <w:rFonts w:hint="eastAsia" w:ascii="仿宋_GB2312" w:hAnsi="仿宋_GB2312" w:eastAsia="仿宋_GB2312" w:cs="仿宋_GB2312"/>
          <w:bCs w:val="0"/>
          <w:kern w:val="2"/>
          <w:sz w:val="28"/>
          <w:szCs w:val="28"/>
          <w:lang w:val="en-US" w:eastAsia="zh-CN" w:bidi="ar-SA"/>
        </w:rPr>
        <w:t>①引起一般群体性影响的； </w:t>
      </w:r>
      <w:bookmarkEnd w:id="173"/>
      <w:bookmarkEnd w:id="174"/>
    </w:p>
    <w:p>
      <w:pPr>
        <w:spacing w:line="560" w:lineRule="exact"/>
        <w:outlineLvl w:val="0"/>
        <w:rPr>
          <w:rFonts w:hint="eastAsia" w:ascii="仿宋_GB2312" w:hAnsi="仿宋_GB2312" w:eastAsia="仿宋_GB2312" w:cs="仿宋_GB2312"/>
          <w:bCs w:val="0"/>
          <w:kern w:val="2"/>
          <w:sz w:val="28"/>
          <w:szCs w:val="28"/>
          <w:lang w:val="en-US" w:eastAsia="zh-CN" w:bidi="ar-SA"/>
        </w:rPr>
      </w:pPr>
      <w:r>
        <w:rPr>
          <w:rFonts w:hint="eastAsia" w:ascii="仿宋_GB2312" w:hAnsi="仿宋_GB2312" w:eastAsia="仿宋_GB2312" w:cs="仿宋_GB2312"/>
          <w:bCs w:val="0"/>
          <w:kern w:val="2"/>
          <w:sz w:val="28"/>
          <w:szCs w:val="28"/>
          <w:lang w:val="en-US" w:eastAsia="zh-CN" w:bidi="ar-SA"/>
        </w:rPr>
        <w:t xml:space="preserve">    </w:t>
      </w:r>
      <w:bookmarkStart w:id="175" w:name="_Toc26165"/>
      <w:bookmarkStart w:id="176" w:name="_Toc6934"/>
      <w:r>
        <w:rPr>
          <w:rFonts w:hint="eastAsia" w:ascii="仿宋_GB2312" w:hAnsi="仿宋_GB2312" w:eastAsia="仿宋_GB2312" w:cs="仿宋_GB2312"/>
          <w:bCs w:val="0"/>
          <w:kern w:val="2"/>
          <w:sz w:val="28"/>
          <w:szCs w:val="28"/>
          <w:lang w:val="en-US" w:eastAsia="zh-CN" w:bidi="ar-SA"/>
        </w:rPr>
        <w:t>②污染物被拦截在单元装置区、罐区围堰等生产区域内，未出车间界区。事故状态下，当危险物质对厂界外水体环境没有影响时，按三级处理；当危险物质对厂界外水体环境有影响，我厂应急能力无法控制时，升为二级或一级，应立即上报上级政府部门，根据指示启动富平县或渭南市环境应急预案。</w:t>
      </w:r>
      <w:bookmarkEnd w:id="175"/>
      <w:bookmarkEnd w:id="176"/>
    </w:p>
    <w:p>
      <w:pPr>
        <w:pStyle w:val="12"/>
        <w:spacing w:line="560" w:lineRule="exact"/>
        <w:outlineLvl w:val="0"/>
        <w:rPr>
          <w:rFonts w:ascii="Times New Roman" w:hAnsi="Times New Roman" w:eastAsia="仿宋_GB2312" w:cs="Times New Roman"/>
          <w:b/>
          <w:bCs w:val="0"/>
          <w:sz w:val="28"/>
          <w:szCs w:val="28"/>
        </w:rPr>
      </w:pPr>
      <w:bookmarkStart w:id="177" w:name="_Toc402516903"/>
      <w:bookmarkStart w:id="178" w:name="_Toc27999"/>
      <w:bookmarkStart w:id="179" w:name="_Toc31812"/>
      <w:bookmarkStart w:id="180" w:name="_Toc13472"/>
      <w:r>
        <w:rPr>
          <w:rFonts w:ascii="Times New Roman" w:hAnsi="Times New Roman" w:eastAsia="仿宋_GB2312" w:cs="Times New Roman"/>
          <w:bCs w:val="0"/>
          <w:sz w:val="28"/>
          <w:szCs w:val="28"/>
        </w:rPr>
        <w:t>1.4</w:t>
      </w:r>
      <w:r>
        <w:rPr>
          <w:rFonts w:hint="eastAsia" w:ascii="Times New Roman" w:hAnsi="Times New Roman" w:eastAsia="仿宋_GB2312" w:cs="Times New Roman"/>
          <w:bCs w:val="0"/>
          <w:sz w:val="28"/>
          <w:szCs w:val="28"/>
          <w:lang w:val="en-US" w:eastAsia="zh-CN"/>
        </w:rPr>
        <w:t xml:space="preserve"> </w:t>
      </w:r>
      <w:r>
        <w:rPr>
          <w:rFonts w:ascii="Times New Roman" w:hAnsi="Times New Roman" w:eastAsia="仿宋_GB2312" w:cs="Times New Roman"/>
          <w:b/>
          <w:bCs w:val="0"/>
          <w:sz w:val="28"/>
          <w:szCs w:val="28"/>
        </w:rPr>
        <w:t>适用范围</w:t>
      </w:r>
      <w:bookmarkEnd w:id="177"/>
      <w:bookmarkEnd w:id="178"/>
      <w:bookmarkEnd w:id="179"/>
      <w:bookmarkEnd w:id="180"/>
    </w:p>
    <w:p>
      <w:pPr>
        <w:spacing w:line="560" w:lineRule="exact"/>
        <w:ind w:firstLine="523" w:firstLineChars="187"/>
        <w:outlineLvl w:val="0"/>
        <w:rPr>
          <w:rFonts w:hint="eastAsia" w:ascii="仿宋_GB2312" w:hAnsi="仿宋_GB2312" w:eastAsia="仿宋_GB2312" w:cs="仿宋_GB2312"/>
          <w:sz w:val="28"/>
          <w:szCs w:val="28"/>
        </w:rPr>
      </w:pPr>
      <w:bookmarkStart w:id="181" w:name="_Toc8197"/>
      <w:bookmarkStart w:id="182" w:name="_Toc4431"/>
      <w:r>
        <w:rPr>
          <w:rFonts w:hint="eastAsia" w:ascii="仿宋_GB2312" w:hAnsi="仿宋_GB2312" w:eastAsia="仿宋_GB2312" w:cs="仿宋_GB2312"/>
          <w:sz w:val="28"/>
          <w:szCs w:val="28"/>
          <w:lang w:eastAsia="zh-CN"/>
        </w:rPr>
        <w:t>本</w:t>
      </w:r>
      <w:r>
        <w:rPr>
          <w:rFonts w:hint="eastAsia" w:ascii="仿宋_GB2312" w:hAnsi="仿宋_GB2312" w:eastAsia="仿宋_GB2312" w:cs="仿宋_GB2312"/>
          <w:sz w:val="28"/>
          <w:szCs w:val="28"/>
        </w:rPr>
        <w:t>预案适用</w:t>
      </w:r>
      <w:r>
        <w:rPr>
          <w:rFonts w:hint="eastAsia" w:ascii="仿宋_GB2312" w:hAnsi="仿宋_GB2312" w:eastAsia="仿宋_GB2312" w:cs="仿宋_GB2312"/>
          <w:sz w:val="28"/>
          <w:szCs w:val="28"/>
          <w:lang w:eastAsia="zh-CN"/>
        </w:rPr>
        <w:t>于</w:t>
      </w:r>
      <w:r>
        <w:rPr>
          <w:rFonts w:hint="eastAsia" w:ascii="仿宋_GB2312" w:hAnsi="仿宋_GB2312" w:eastAsia="仿宋_GB2312" w:cs="仿宋_GB2312"/>
          <w:sz w:val="28"/>
          <w:szCs w:val="28"/>
        </w:rPr>
        <w:t>本</w:t>
      </w:r>
      <w:r>
        <w:rPr>
          <w:rFonts w:hint="eastAsia" w:ascii="仿宋_GB2312" w:hAnsi="仿宋_GB2312" w:eastAsia="仿宋_GB2312" w:cs="仿宋_GB2312"/>
          <w:sz w:val="28"/>
          <w:szCs w:val="28"/>
          <w:lang w:eastAsia="zh-CN"/>
        </w:rPr>
        <w:t>公司</w:t>
      </w:r>
      <w:r>
        <w:rPr>
          <w:rFonts w:hint="eastAsia" w:ascii="仿宋_GB2312" w:hAnsi="仿宋_GB2312" w:eastAsia="仿宋_GB2312" w:cs="仿宋_GB2312"/>
          <w:sz w:val="28"/>
          <w:szCs w:val="28"/>
        </w:rPr>
        <w:t>厂区内，人为或不可抗力造成的废气、废水、固体废物、危险化学品、</w:t>
      </w:r>
      <w:r>
        <w:rPr>
          <w:rFonts w:hint="eastAsia" w:ascii="仿宋_GB2312" w:hAnsi="仿宋_GB2312" w:eastAsia="仿宋_GB2312" w:cs="仿宋_GB2312"/>
          <w:sz w:val="28"/>
          <w:szCs w:val="28"/>
          <w:lang w:eastAsia="zh-CN"/>
        </w:rPr>
        <w:t>腐蚀</w:t>
      </w:r>
      <w:r>
        <w:rPr>
          <w:rFonts w:hint="eastAsia" w:ascii="仿宋_GB2312" w:hAnsi="仿宋_GB2312" w:eastAsia="仿宋_GB2312" w:cs="仿宋_GB2312"/>
          <w:sz w:val="28"/>
          <w:szCs w:val="28"/>
        </w:rPr>
        <w:t>化学品等环境污染事件；在生产、贮存、经营和处置过程中发生的火灾、</w:t>
      </w:r>
      <w:r>
        <w:rPr>
          <w:rFonts w:hint="eastAsia" w:ascii="仿宋_GB2312" w:hAnsi="仿宋_GB2312" w:eastAsia="仿宋_GB2312" w:cs="仿宋_GB2312"/>
          <w:sz w:val="28"/>
          <w:szCs w:val="28"/>
          <w:lang w:eastAsia="zh-CN"/>
        </w:rPr>
        <w:t>爆炸、</w:t>
      </w:r>
      <w:r>
        <w:rPr>
          <w:rFonts w:hint="eastAsia" w:ascii="仿宋_GB2312" w:hAnsi="仿宋_GB2312" w:eastAsia="仿宋_GB2312" w:cs="仿宋_GB2312"/>
          <w:sz w:val="28"/>
          <w:szCs w:val="28"/>
        </w:rPr>
        <w:t>泄漏等环境污染事件；影响区域地表水和地下水环境的其它环境污染事件等。</w:t>
      </w:r>
      <w:bookmarkEnd w:id="181"/>
      <w:bookmarkEnd w:id="182"/>
    </w:p>
    <w:p>
      <w:pPr>
        <w:pStyle w:val="12"/>
        <w:spacing w:line="560" w:lineRule="exact"/>
        <w:outlineLvl w:val="0"/>
        <w:rPr>
          <w:rFonts w:ascii="Times New Roman" w:hAnsi="Times New Roman" w:eastAsia="仿宋_GB2312" w:cs="Times New Roman"/>
          <w:b/>
          <w:bCs w:val="0"/>
          <w:sz w:val="28"/>
          <w:szCs w:val="28"/>
        </w:rPr>
      </w:pPr>
      <w:bookmarkStart w:id="183" w:name="_Toc402516904"/>
      <w:bookmarkStart w:id="184" w:name="_Toc28346"/>
      <w:bookmarkStart w:id="185" w:name="_Toc9064"/>
      <w:bookmarkStart w:id="186" w:name="_Toc8781"/>
      <w:r>
        <w:rPr>
          <w:rFonts w:ascii="Times New Roman" w:hAnsi="Times New Roman" w:eastAsia="仿宋_GB2312" w:cs="Times New Roman"/>
          <w:bCs w:val="0"/>
          <w:sz w:val="28"/>
          <w:szCs w:val="28"/>
        </w:rPr>
        <w:t>l.5</w:t>
      </w:r>
      <w:r>
        <w:rPr>
          <w:rFonts w:ascii="Times New Roman" w:hAnsi="Times New Roman" w:eastAsia="仿宋_GB2312" w:cs="Times New Roman"/>
          <w:b/>
          <w:bCs w:val="0"/>
          <w:sz w:val="28"/>
          <w:szCs w:val="28"/>
        </w:rPr>
        <w:t>工作原则</w:t>
      </w:r>
      <w:bookmarkEnd w:id="183"/>
      <w:bookmarkEnd w:id="184"/>
      <w:bookmarkEnd w:id="185"/>
      <w:bookmarkEnd w:id="186"/>
    </w:p>
    <w:p>
      <w:pPr>
        <w:spacing w:line="560" w:lineRule="exact"/>
        <w:ind w:firstLine="523" w:firstLineChars="187"/>
        <w:outlineLvl w:val="0"/>
        <w:rPr>
          <w:rFonts w:hint="eastAsia" w:ascii="仿宋_GB2312" w:hAnsi="仿宋_GB2312" w:eastAsia="仿宋_GB2312" w:cs="仿宋_GB2312"/>
          <w:sz w:val="28"/>
          <w:szCs w:val="28"/>
          <w:lang w:eastAsia="zh-CN"/>
        </w:rPr>
      </w:pPr>
      <w:bookmarkStart w:id="187" w:name="_Toc11257"/>
      <w:bookmarkStart w:id="188" w:name="_Toc20831"/>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）以人为本，预防为主；</w:t>
      </w:r>
      <w:bookmarkEnd w:id="187"/>
      <w:bookmarkEnd w:id="188"/>
    </w:p>
    <w:p>
      <w:pPr>
        <w:spacing w:line="560" w:lineRule="exact"/>
        <w:ind w:firstLine="523" w:firstLineChars="187"/>
        <w:outlineLvl w:val="0"/>
        <w:rPr>
          <w:rFonts w:hint="eastAsia" w:ascii="仿宋_GB2312" w:hAnsi="仿宋_GB2312" w:eastAsia="仿宋_GB2312" w:cs="仿宋_GB2312"/>
          <w:sz w:val="28"/>
          <w:szCs w:val="28"/>
          <w:lang w:eastAsia="zh-CN"/>
        </w:rPr>
      </w:pPr>
      <w:bookmarkStart w:id="189" w:name="_Toc32269"/>
      <w:bookmarkStart w:id="190" w:name="_Toc5885"/>
      <w:r>
        <w:rPr>
          <w:rFonts w:hint="eastAsia" w:ascii="仿宋_GB2312" w:hAnsi="仿宋_GB2312" w:eastAsia="仿宋_GB2312" w:cs="仿宋_GB2312"/>
          <w:sz w:val="28"/>
          <w:szCs w:val="28"/>
          <w:lang w:eastAsia="zh-CN"/>
        </w:rPr>
        <w:t>加强对环境事故危险源的监测、监控并实施监督管理，建立环境事故风险防范体系，积极预防、积极控制、积极巡查、积极消除隐患，提高突发性环境污染事故防范和处理能力。尽可能地减少突发环境污染事故的发生，避免事故对人身的伤害，消除或减轻环境污染事故造成的中长期影响，最大程度保障公众健康，保护人民群众生命财产安全。</w:t>
      </w:r>
      <w:bookmarkEnd w:id="189"/>
      <w:bookmarkEnd w:id="190"/>
    </w:p>
    <w:p>
      <w:pPr>
        <w:spacing w:line="560" w:lineRule="exact"/>
        <w:ind w:firstLine="523" w:firstLineChars="187"/>
        <w:outlineLvl w:val="0"/>
        <w:rPr>
          <w:rFonts w:hint="eastAsia" w:ascii="仿宋_GB2312" w:hAnsi="仿宋_GB2312" w:eastAsia="仿宋_GB2312" w:cs="仿宋_GB2312"/>
          <w:sz w:val="28"/>
          <w:szCs w:val="28"/>
          <w:lang w:eastAsia="zh-CN"/>
        </w:rPr>
      </w:pPr>
      <w:bookmarkStart w:id="191" w:name="_Toc6313"/>
      <w:bookmarkStart w:id="192" w:name="_Toc28152"/>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）科学应对，高效处置；</w:t>
      </w:r>
      <w:bookmarkEnd w:id="191"/>
      <w:bookmarkEnd w:id="192"/>
    </w:p>
    <w:p>
      <w:pPr>
        <w:spacing w:line="560" w:lineRule="exact"/>
        <w:ind w:firstLine="523" w:firstLineChars="187"/>
        <w:outlineLvl w:val="0"/>
        <w:rPr>
          <w:rFonts w:hint="eastAsia" w:ascii="仿宋_GB2312" w:hAnsi="仿宋_GB2312" w:eastAsia="仿宋_GB2312" w:cs="仿宋_GB2312"/>
          <w:sz w:val="28"/>
          <w:szCs w:val="28"/>
          <w:lang w:eastAsia="zh-CN"/>
        </w:rPr>
      </w:pPr>
      <w:bookmarkStart w:id="193" w:name="_Toc22968"/>
      <w:bookmarkStart w:id="194" w:name="_Toc18311"/>
      <w:r>
        <w:rPr>
          <w:rFonts w:hint="eastAsia" w:ascii="仿宋_GB2312" w:hAnsi="仿宋_GB2312" w:eastAsia="仿宋_GB2312" w:cs="仿宋_GB2312"/>
          <w:sz w:val="28"/>
          <w:szCs w:val="28"/>
          <w:lang w:eastAsia="zh-CN"/>
        </w:rPr>
        <w:t>接受政府环保部门的指导，使企业的突发性环境污染事故应急系统成为区域系统的有机组成部分。加强企业各部门之间协同与合作，提高快速反应能力，建立科学的突发环境污染事故处理体系。针对不同污染源所造成的环境污染的特点，实行分类管理，充分发挥各部门专业优势，使采取的措施与突发环境污染事故造成的危害范围和社会影响相适应。同时，加强培训演练，应急系统做到常备不懈，达到在事故应急中快速有效处置。</w:t>
      </w:r>
      <w:bookmarkEnd w:id="193"/>
      <w:bookmarkEnd w:id="194"/>
    </w:p>
    <w:p>
      <w:pPr>
        <w:pStyle w:val="12"/>
        <w:spacing w:line="560" w:lineRule="exact"/>
        <w:outlineLvl w:val="0"/>
        <w:rPr>
          <w:rFonts w:ascii="Times New Roman" w:hAnsi="Times New Roman" w:eastAsia="仿宋_GB2312" w:cs="Times New Roman"/>
          <w:b/>
          <w:bCs w:val="0"/>
          <w:sz w:val="28"/>
          <w:szCs w:val="28"/>
        </w:rPr>
      </w:pPr>
      <w:bookmarkStart w:id="195" w:name="_Toc399665390"/>
      <w:bookmarkStart w:id="196" w:name="_Toc402516905"/>
      <w:bookmarkStart w:id="197" w:name="_Toc4912"/>
      <w:bookmarkStart w:id="198" w:name="_Toc22934"/>
      <w:bookmarkStart w:id="199" w:name="_Toc7367"/>
      <w:r>
        <w:rPr>
          <w:rFonts w:ascii="Times New Roman" w:hAnsi="Times New Roman" w:eastAsia="仿宋_GB2312" w:cs="Times New Roman"/>
          <w:bCs w:val="0"/>
          <w:sz w:val="28"/>
          <w:szCs w:val="28"/>
        </w:rPr>
        <w:t>2．</w:t>
      </w:r>
      <w:r>
        <w:rPr>
          <w:rFonts w:hint="eastAsia" w:ascii="Times New Roman" w:hAnsi="Times New Roman" w:eastAsia="仿宋_GB2312" w:cs="Times New Roman"/>
          <w:b/>
          <w:bCs w:val="0"/>
          <w:sz w:val="28"/>
          <w:szCs w:val="28"/>
        </w:rPr>
        <w:t>公司</w:t>
      </w:r>
      <w:r>
        <w:rPr>
          <w:rFonts w:ascii="Times New Roman" w:hAnsi="Times New Roman" w:eastAsia="仿宋_GB2312" w:cs="Times New Roman"/>
          <w:b/>
          <w:bCs w:val="0"/>
          <w:sz w:val="28"/>
          <w:szCs w:val="28"/>
        </w:rPr>
        <w:t>概况</w:t>
      </w:r>
      <w:bookmarkEnd w:id="195"/>
      <w:bookmarkEnd w:id="196"/>
      <w:bookmarkEnd w:id="197"/>
      <w:bookmarkEnd w:id="198"/>
      <w:bookmarkEnd w:id="199"/>
    </w:p>
    <w:p>
      <w:pPr>
        <w:pStyle w:val="12"/>
        <w:spacing w:line="560" w:lineRule="exact"/>
        <w:outlineLvl w:val="0"/>
        <w:rPr>
          <w:rFonts w:hint="eastAsia" w:ascii="Times New Roman" w:hAnsi="Times New Roman" w:eastAsia="仿宋_GB2312" w:cs="Times New Roman"/>
          <w:b/>
          <w:bCs w:val="0"/>
          <w:sz w:val="28"/>
          <w:szCs w:val="28"/>
        </w:rPr>
      </w:pPr>
      <w:bookmarkStart w:id="200" w:name="_Toc402516906"/>
      <w:bookmarkStart w:id="201" w:name="_Toc749"/>
      <w:bookmarkStart w:id="202" w:name="_Toc28619"/>
      <w:bookmarkStart w:id="203" w:name="_Toc16109"/>
      <w:r>
        <w:rPr>
          <w:rFonts w:ascii="Times New Roman" w:hAnsi="Times New Roman" w:eastAsia="仿宋_GB2312" w:cs="Times New Roman"/>
          <w:bCs w:val="0"/>
          <w:sz w:val="28"/>
          <w:szCs w:val="28"/>
        </w:rPr>
        <w:t>2.1</w:t>
      </w:r>
      <w:r>
        <w:rPr>
          <w:rFonts w:hint="eastAsia" w:ascii="Times New Roman" w:hAnsi="Times New Roman" w:eastAsia="仿宋_GB2312" w:cs="Times New Roman"/>
          <w:b/>
          <w:bCs w:val="0"/>
          <w:sz w:val="28"/>
          <w:szCs w:val="28"/>
        </w:rPr>
        <w:t>公司</w:t>
      </w:r>
      <w:r>
        <w:rPr>
          <w:rFonts w:ascii="Times New Roman" w:hAnsi="Times New Roman" w:eastAsia="仿宋_GB2312" w:cs="Times New Roman"/>
          <w:b/>
          <w:bCs w:val="0"/>
          <w:sz w:val="28"/>
          <w:szCs w:val="28"/>
        </w:rPr>
        <w:t>基本情况</w:t>
      </w:r>
      <w:bookmarkEnd w:id="200"/>
      <w:bookmarkEnd w:id="201"/>
      <w:bookmarkEnd w:id="202"/>
      <w:bookmarkEnd w:id="203"/>
    </w:p>
    <w:p>
      <w:pPr>
        <w:pStyle w:val="12"/>
        <w:spacing w:line="560" w:lineRule="exact"/>
        <w:outlineLvl w:val="0"/>
        <w:rPr>
          <w:rFonts w:hint="eastAsia" w:ascii="Times New Roman" w:hAnsi="Times New Roman" w:eastAsia="仿宋_GB2312" w:cs="Times New Roman"/>
          <w:b/>
          <w:bCs w:val="0"/>
          <w:sz w:val="28"/>
          <w:szCs w:val="28"/>
        </w:rPr>
      </w:pPr>
      <w:bookmarkStart w:id="204" w:name="_Toc402516907"/>
      <w:bookmarkStart w:id="205" w:name="_Toc22604"/>
      <w:bookmarkStart w:id="206" w:name="_Toc3824"/>
      <w:bookmarkStart w:id="207" w:name="_Toc23483"/>
      <w:r>
        <w:rPr>
          <w:rFonts w:ascii="Times New Roman" w:hAnsi="Times New Roman" w:eastAsia="仿宋_GB2312" w:cs="Times New Roman"/>
          <w:bCs w:val="0"/>
          <w:sz w:val="28"/>
          <w:szCs w:val="28"/>
        </w:rPr>
        <w:t>2.1.1</w:t>
      </w:r>
      <w:r>
        <w:rPr>
          <w:rFonts w:hint="eastAsia" w:ascii="Times New Roman" w:hAnsi="Times New Roman" w:eastAsia="仿宋_GB2312" w:cs="Times New Roman"/>
          <w:b/>
          <w:bCs w:val="0"/>
          <w:sz w:val="28"/>
          <w:szCs w:val="28"/>
        </w:rPr>
        <w:t>公司简介</w:t>
      </w:r>
      <w:bookmarkEnd w:id="204"/>
      <w:bookmarkEnd w:id="205"/>
      <w:bookmarkEnd w:id="206"/>
      <w:bookmarkEnd w:id="207"/>
    </w:p>
    <w:p>
      <w:pPr>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陕西富化化工有限责任公司是无机盐化工专业生产企业，2002年改制为股份制公司</w:t>
      </w:r>
      <w:r>
        <w:rPr>
          <w:rFonts w:hint="eastAsia" w:ascii="仿宋_GB2312" w:hAnsi="仿宋_GB2312" w:eastAsia="仿宋_GB2312" w:cs="仿宋_GB2312"/>
          <w:sz w:val="28"/>
          <w:szCs w:val="28"/>
          <w:lang w:eastAsia="zh-CN"/>
        </w:rPr>
        <w:t>，旧址位于富平县车站大街西段</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2015年11月，富化公司相应县委、县政府号召搬迁至</w:t>
      </w:r>
      <w:r>
        <w:rPr>
          <w:rFonts w:hint="eastAsia" w:ascii="仿宋_GB2312" w:hAnsi="仿宋_GB2312" w:eastAsia="仿宋_GB2312" w:cs="仿宋_GB2312"/>
          <w:sz w:val="28"/>
          <w:szCs w:val="28"/>
        </w:rPr>
        <w:t>富平</w:t>
      </w:r>
      <w:r>
        <w:rPr>
          <w:rFonts w:hint="eastAsia" w:ascii="仿宋_GB2312" w:hAnsi="仿宋_GB2312" w:eastAsia="仿宋_GB2312" w:cs="仿宋_GB2312"/>
          <w:sz w:val="28"/>
          <w:szCs w:val="28"/>
          <w:lang w:eastAsia="zh-CN"/>
        </w:rPr>
        <w:t>庄里工业园区工业二路东</w:t>
      </w:r>
      <w:r>
        <w:rPr>
          <w:rFonts w:hint="eastAsia" w:ascii="仿宋_GB2312" w:hAnsi="仿宋_GB2312" w:eastAsia="仿宋_GB2312" w:cs="仿宋_GB2312"/>
          <w:sz w:val="28"/>
          <w:szCs w:val="28"/>
        </w:rPr>
        <w:t>，占地</w:t>
      </w:r>
      <w:r>
        <w:rPr>
          <w:rFonts w:hint="eastAsia" w:ascii="仿宋_GB2312" w:hAnsi="仿宋_GB2312" w:eastAsia="仿宋_GB2312" w:cs="仿宋_GB2312"/>
          <w:sz w:val="28"/>
          <w:szCs w:val="28"/>
          <w:lang w:val="en-US" w:eastAsia="zh-CN"/>
        </w:rPr>
        <w:t>16</w:t>
      </w:r>
      <w:r>
        <w:rPr>
          <w:rFonts w:hint="eastAsia" w:ascii="仿宋_GB2312" w:hAnsi="仿宋_GB2312" w:eastAsia="仿宋_GB2312" w:cs="仿宋_GB2312"/>
          <w:sz w:val="28"/>
          <w:szCs w:val="28"/>
        </w:rPr>
        <w:t>万平方米</w:t>
      </w:r>
      <w:r>
        <w:rPr>
          <w:rFonts w:hint="eastAsia" w:ascii="仿宋_GB2312" w:hAnsi="仿宋_GB2312" w:eastAsia="仿宋_GB2312" w:cs="仿宋_GB2312"/>
          <w:sz w:val="28"/>
          <w:szCs w:val="28"/>
          <w:lang w:eastAsia="zh-CN"/>
        </w:rPr>
        <w:t>。现</w:t>
      </w:r>
      <w:r>
        <w:rPr>
          <w:rFonts w:hint="eastAsia" w:ascii="仿宋_GB2312" w:hAnsi="仿宋_GB2312" w:eastAsia="仿宋_GB2312" w:cs="仿宋_GB2312"/>
          <w:sz w:val="28"/>
          <w:szCs w:val="28"/>
        </w:rPr>
        <w:t>具有年产沉淀硫酸钡</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万吨、低铁硫化钠</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万吨的生产能力，主要原材料为重晶石、水硝、原煤。公司被授予省级“重合同、守信用”单位、“A级纳税人”称号、市级“明星企业”和“环境保护工作先进单位”等称号，通过了GB/T19001-2008质量管理体系、GB/T24001-2004环境管理体系、GB/T28001-2001职业健康安全管理体系认证。主要产品沉淀硫酸钡产质量位居全国同行业前列，曾荣获省优产品称号，是硫酸钡产品国家标准制定单位之一。低铁硫化钠产品生产线为全国仅有的两家之一，生产过程实现了全厂废水循环零排放，2006年被省政府认定为资源综合利用企业，2011年“富化牌”低铁硫化钠被授于“陕西省名牌产品”称号。产品畅销广东、福建、江苏、浙江等省、市、自治区，倍受用户信赖，同时出口远销日本、英国、澳大利亚、东南亚及台湾等国家和地区。</w:t>
      </w:r>
    </w:p>
    <w:p>
      <w:pPr>
        <w:pStyle w:val="4"/>
        <w:spacing w:before="100" w:beforeAutospacing="1" w:after="0"/>
        <w:rPr>
          <w:rFonts w:hint="eastAsia" w:ascii="仿宋_GB2312" w:hAnsi="仿宋_GB2312" w:eastAsia="仿宋_GB2312" w:cs="仿宋_GB2312"/>
          <w:b/>
          <w:bCs/>
          <w:kern w:val="2"/>
          <w:sz w:val="28"/>
          <w:szCs w:val="28"/>
          <w:lang w:val="en-US" w:eastAsia="zh-CN" w:bidi="ar-SA"/>
        </w:rPr>
      </w:pPr>
      <w:bookmarkStart w:id="208" w:name="_Toc30366"/>
      <w:bookmarkStart w:id="209" w:name="_Toc25255"/>
      <w:bookmarkStart w:id="210" w:name="_Toc194"/>
      <w:r>
        <w:rPr>
          <w:rFonts w:hint="eastAsia" w:ascii="Times New Roman" w:hAnsi="Times New Roman" w:eastAsia="仿宋_GB2312" w:cs="Times New Roman"/>
          <w:bCs w:val="0"/>
          <w:kern w:val="0"/>
          <w:sz w:val="28"/>
          <w:szCs w:val="28"/>
          <w:lang w:val="en-US" w:eastAsia="zh-CN" w:bidi="ar-SA"/>
        </w:rPr>
        <w:t>2.1.2</w:t>
      </w:r>
      <w:r>
        <w:rPr>
          <w:rFonts w:hint="eastAsia" w:ascii="仿宋_GB2312" w:hAnsi="仿宋_GB2312" w:eastAsia="仿宋_GB2312" w:cs="仿宋_GB2312"/>
          <w:b/>
          <w:bCs/>
          <w:kern w:val="2"/>
          <w:sz w:val="28"/>
          <w:szCs w:val="28"/>
          <w:lang w:val="en-US" w:eastAsia="zh-CN" w:bidi="ar-SA"/>
        </w:rPr>
        <w:t xml:space="preserve"> 生产工艺</w:t>
      </w:r>
      <w:bookmarkEnd w:id="208"/>
      <w:bookmarkEnd w:id="209"/>
      <w:bookmarkEnd w:id="210"/>
    </w:p>
    <w:p>
      <w:pPr>
        <w:spacing w:line="360" w:lineRule="auto"/>
        <w:ind w:firstLine="435"/>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（1）沉淀硫酸钡生产工艺简述：</w:t>
      </w:r>
    </w:p>
    <w:p>
      <w:pPr>
        <w:spacing w:line="360" w:lineRule="auto"/>
        <w:ind w:firstLine="435"/>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 将一定浓度的硝水（硫酸钠）溶液和一定浓度硫化钡溶液；经泵将两溶液分别送至硝、钡水精制罐加热，加热后经泵将其分别送入硝、钡水贮存罐；化合时将两水用泵送入化合罐，化合得到的沉淀硫酸钡和副产物硫化钠溶液（碱液），经泵送至离心机进行碱液分离。分离后的碱液用泵送至碱液贮罐供低铁车间用；钡浆用泵送入压滤机，压滤好的钡饼进入调浆罐，经处理后用泵送入钡浆贮存罐；干燥时先用泵送入离心机进行脱水，废水用泵送入凉水池供化硝、环保用，钡料进入干燥机进行干燥，干燥好的料进入粉碎机粉碎。</w:t>
      </w:r>
    </w:p>
    <w:p>
      <w:pPr>
        <w:spacing w:line="360" w:lineRule="auto"/>
        <w:ind w:firstLine="435"/>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沉淀硫酸钡生产工艺图见附图。</w:t>
      </w:r>
    </w:p>
    <w:p>
      <w:pPr>
        <w:spacing w:line="360" w:lineRule="auto"/>
        <w:ind w:firstLine="435"/>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（2）硫化钠生产工艺简述：</w:t>
      </w:r>
    </w:p>
    <w:p>
      <w:pPr>
        <w:spacing w:line="360" w:lineRule="auto"/>
        <w:ind w:firstLine="435"/>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采用先进的减压蒸发工艺，利用0.5MPa的饱和蒸汽经过四效连续蒸发，再进行除铁除杂处理和单效浓缩，最后制成片状的成品低铁硫化碱，它的热利用率高，节约能源，操作工劳动负荷轻，整个生产过程为闭合生产，无污染物产生，具有工艺流程短、无三废排放、产品质量好、节约能源、无污染等优点，而最大的特点是硫化碱溶液中含铁低，可生产高品质的低铁硫化钠产品，节能、环保效益、经济效益和社会效益明显。</w:t>
      </w:r>
    </w:p>
    <w:p>
      <w:pPr>
        <w:spacing w:line="360" w:lineRule="auto"/>
        <w:ind w:firstLine="435"/>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工程将硫酸钡生产过程中稀碱液收集在稀碱液贮槽内，经碱液泵送至换热器与Ⅰ、Ⅱ效蒸发器出来的冷凝水先进行预热升温，升温后的稀碱液首先进入Ⅰ效蒸发器蒸发掉一部分水分，热源为0.5MPa、132℃的饱和蒸汽，碱液随后依次进入Ⅱ、Ⅲ、Ⅳ效蒸发器，四个蒸发器串联操作，逐级对碱液进行蒸发浓缩，经过四效蒸发后，将碱液送入缓冲罐，再用碱液泵送至反应罐与硫化钡水进行反应，进行除铁处理，处理过的碱液用碱液泵送至精制罐，经过保温澄清精制之后，得到含铁较低、杂质较少的硫化钠溶液，再用甩管把精制罐的硫化钠溶液放至单效蒸发系统，单效采用外热式强制循环蒸发器，热源为1.0MPa、181℃的饱和蒸汽进一步蒸发浓缩，可使硫化钠溶液蒸发浓缩至60%，将蒸发浓缩合格的硫化钠溶液经过制片机得到片状的低铁硫化钠产品。</w:t>
      </w:r>
    </w:p>
    <w:p>
      <w:pPr>
        <w:spacing w:line="360" w:lineRule="auto"/>
        <w:ind w:firstLine="435"/>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 硫化钠生产工艺见附图。</w:t>
      </w:r>
    </w:p>
    <w:p>
      <w:pPr>
        <w:spacing w:line="360" w:lineRule="auto"/>
        <w:rPr>
          <w:rFonts w:hint="eastAsia" w:ascii="Times New Roman" w:hAnsi="Times New Roman" w:eastAsia="仿宋_GB2312" w:cs="Times New Roman"/>
          <w:b/>
          <w:bCs/>
          <w:kern w:val="0"/>
          <w:sz w:val="28"/>
          <w:szCs w:val="28"/>
          <w:lang w:val="en-US" w:eastAsia="zh-CN" w:bidi="ar-SA"/>
        </w:rPr>
      </w:pPr>
      <w:r>
        <w:rPr>
          <w:rFonts w:hint="eastAsia" w:ascii="Times New Roman" w:hAnsi="Times New Roman" w:eastAsia="仿宋_GB2312" w:cs="Times New Roman"/>
          <w:bCs w:val="0"/>
          <w:kern w:val="0"/>
          <w:sz w:val="28"/>
          <w:szCs w:val="28"/>
          <w:lang w:val="en-US" w:eastAsia="zh-CN" w:bidi="ar-SA"/>
        </w:rPr>
        <w:t xml:space="preserve">2.1.3 </w:t>
      </w:r>
      <w:r>
        <w:rPr>
          <w:rFonts w:hint="eastAsia" w:ascii="Times New Roman" w:hAnsi="Times New Roman" w:eastAsia="仿宋_GB2312" w:cs="Times New Roman"/>
          <w:b/>
          <w:bCs/>
          <w:kern w:val="0"/>
          <w:sz w:val="28"/>
          <w:szCs w:val="28"/>
          <w:lang w:val="en-US" w:eastAsia="zh-CN" w:bidi="ar-SA"/>
        </w:rPr>
        <w:t>主要环保设施</w:t>
      </w:r>
    </w:p>
    <w:p>
      <w:pPr>
        <w:spacing w:line="360" w:lineRule="auto"/>
        <w:rPr>
          <w:rFonts w:hint="eastAsia" w:ascii="仿宋_GB2312" w:hAnsi="仿宋_GB2312" w:eastAsia="仿宋_GB2312" w:cs="仿宋_GB2312"/>
          <w:sz w:val="28"/>
          <w:szCs w:val="28"/>
          <w:lang w:val="en-US" w:eastAsia="zh-CN"/>
        </w:rPr>
      </w:pPr>
      <w:r>
        <w:rPr>
          <w:rFonts w:hint="eastAsia" w:ascii="Times New Roman" w:hAnsi="Times New Roman" w:eastAsia="仿宋_GB2312" w:cs="Times New Roman"/>
          <w:b/>
          <w:bCs/>
          <w:kern w:val="0"/>
          <w:sz w:val="28"/>
          <w:szCs w:val="28"/>
          <w:lang w:val="en-US" w:eastAsia="zh-CN" w:bidi="ar-SA"/>
        </w:rPr>
        <w:t xml:space="preserve">    </w:t>
      </w:r>
      <w:r>
        <w:rPr>
          <w:rFonts w:hint="eastAsia" w:ascii="仿宋_GB2312" w:hAnsi="仿宋_GB2312" w:eastAsia="仿宋_GB2312" w:cs="仿宋_GB2312"/>
          <w:kern w:val="2"/>
          <w:sz w:val="28"/>
          <w:szCs w:val="28"/>
          <w:lang w:val="en-US" w:eastAsia="zh-CN" w:bidi="ar-SA"/>
        </w:rPr>
        <w:t>我公司主要建成的环保设施有：1、2台65t/h循环流化床锅炉采用2套脉冲喷吹袋式除尘器</w:t>
      </w:r>
      <w:r>
        <w:rPr>
          <w:rFonts w:hint="eastAsia" w:ascii="仿宋_GB2312" w:hAnsi="仿宋_GB2312" w:eastAsia="仿宋_GB2312" w:cs="仿宋_GB2312"/>
          <w:sz w:val="28"/>
          <w:szCs w:val="28"/>
          <w:lang w:val="en-US" w:eastAsia="zh-CN"/>
        </w:rPr>
        <w:t>，1套SNCR脱氮装置，1套双碱法脱硫装置，</w:t>
      </w:r>
      <w:r>
        <w:rPr>
          <w:rFonts w:hint="eastAsia" w:ascii="仿宋_GB2312" w:hAnsi="仿宋_GB2312" w:eastAsia="仿宋_GB2312" w:cs="仿宋_GB2312"/>
          <w:kern w:val="2"/>
          <w:sz w:val="28"/>
          <w:szCs w:val="28"/>
          <w:lang w:val="en-US" w:eastAsia="zh-CN" w:bidi="ar-SA"/>
        </w:rPr>
        <w:t>60米高排气筒等环保设施，1套烟气在线监测装置。2、共3台长转窑，1台Φ3.2</w:t>
      </w:r>
      <w:r>
        <w:rPr>
          <w:rFonts w:hint="default" w:ascii="仿宋_GB2312" w:hAnsi="仿宋_GB2312" w:eastAsia="仿宋_GB2312" w:cs="仿宋_GB2312"/>
          <w:kern w:val="2"/>
          <w:sz w:val="28"/>
          <w:szCs w:val="28"/>
          <w:lang w:val="en-US" w:eastAsia="zh-CN" w:bidi="ar-SA"/>
        </w:rPr>
        <w:t>×</w:t>
      </w:r>
      <w:r>
        <w:rPr>
          <w:rFonts w:hint="eastAsia" w:ascii="仿宋_GB2312" w:hAnsi="仿宋_GB2312" w:eastAsia="仿宋_GB2312" w:cs="仿宋_GB2312"/>
          <w:kern w:val="2"/>
          <w:sz w:val="28"/>
          <w:szCs w:val="28"/>
          <w:lang w:val="en-US" w:eastAsia="zh-CN" w:bidi="ar-SA"/>
        </w:rPr>
        <w:t>58m长砖窑采用沉降室除尘＋余热锅炉降温＋扩散式旋风除尘器＋双碱法脱硫装置（一炉一塔）；2台Φ2.5</w:t>
      </w:r>
      <w:r>
        <w:rPr>
          <w:rFonts w:hint="default" w:ascii="仿宋_GB2312" w:hAnsi="仿宋_GB2312" w:eastAsia="仿宋_GB2312" w:cs="仿宋_GB2312"/>
          <w:kern w:val="2"/>
          <w:sz w:val="28"/>
          <w:szCs w:val="28"/>
          <w:lang w:val="en-US" w:eastAsia="zh-CN" w:bidi="ar-SA"/>
        </w:rPr>
        <w:t>×</w:t>
      </w:r>
      <w:r>
        <w:rPr>
          <w:rFonts w:hint="eastAsia" w:ascii="仿宋_GB2312" w:hAnsi="仿宋_GB2312" w:eastAsia="仿宋_GB2312" w:cs="仿宋_GB2312"/>
          <w:kern w:val="2"/>
          <w:sz w:val="28"/>
          <w:szCs w:val="28"/>
          <w:lang w:val="en-US" w:eastAsia="zh-CN" w:bidi="ar-SA"/>
        </w:rPr>
        <w:t>45m长砖窑采用沉降室除尘＋余热锅炉降温＋布袋除尘器＋双碱法脱硫装置（两炉一塔），3台长砖窑共用1个60m高排气筒。安装有1套烟气在线监测装置。3、原料破碎和原料皮带输送均采用库顶式布袋除尘器除尘。4、项目建有500m</w:t>
      </w:r>
      <w:r>
        <w:rPr>
          <w:rFonts w:hint="eastAsia" w:ascii="仿宋_GB2312" w:hAnsi="仿宋_GB2312" w:eastAsia="仿宋_GB2312" w:cs="仿宋_GB2312"/>
          <w:kern w:val="2"/>
          <w:sz w:val="28"/>
          <w:szCs w:val="28"/>
          <w:vertAlign w:val="superscript"/>
          <w:lang w:val="en-US" w:eastAsia="zh-CN" w:bidi="ar-SA"/>
        </w:rPr>
        <w:t>3</w:t>
      </w:r>
      <w:r>
        <w:rPr>
          <w:rFonts w:hint="eastAsia" w:ascii="仿宋_GB2312" w:hAnsi="仿宋_GB2312" w:eastAsia="仿宋_GB2312" w:cs="仿宋_GB2312"/>
          <w:sz w:val="28"/>
          <w:szCs w:val="28"/>
          <w:lang w:val="en-US" w:eastAsia="zh-CN"/>
        </w:rPr>
        <w:t>事故应急池、钡渣直接装车外运再利用系统。5、公司按雨污分流的原则建设有厂区给排水管网，并与市政管网连通。</w:t>
      </w:r>
    </w:p>
    <w:p>
      <w:pPr>
        <w:pStyle w:val="12"/>
        <w:spacing w:line="560" w:lineRule="exact"/>
        <w:rPr>
          <w:rFonts w:ascii="Times New Roman" w:hAnsi="Times New Roman" w:eastAsia="仿宋_GB2312" w:cs="Times New Roman"/>
          <w:b/>
          <w:bCs w:val="0"/>
          <w:sz w:val="28"/>
          <w:szCs w:val="28"/>
        </w:rPr>
      </w:pPr>
      <w:bookmarkStart w:id="211" w:name="_Toc402516908"/>
      <w:bookmarkStart w:id="212" w:name="_Toc23495"/>
      <w:bookmarkStart w:id="213" w:name="_Toc4283"/>
      <w:bookmarkStart w:id="214" w:name="_Toc20425"/>
      <w:r>
        <w:rPr>
          <w:rFonts w:ascii="Times New Roman" w:hAnsi="Times New Roman" w:eastAsia="仿宋_GB2312" w:cs="Times New Roman"/>
          <w:bCs w:val="0"/>
          <w:sz w:val="28"/>
          <w:szCs w:val="28"/>
        </w:rPr>
        <w:t>2.2</w:t>
      </w:r>
      <w:r>
        <w:rPr>
          <w:rFonts w:hint="eastAsia" w:ascii="Times New Roman" w:hAnsi="Times New Roman" w:eastAsia="仿宋_GB2312" w:cs="Times New Roman"/>
          <w:bCs w:val="0"/>
          <w:sz w:val="28"/>
          <w:szCs w:val="28"/>
          <w:lang w:val="en-US" w:eastAsia="zh-CN"/>
        </w:rPr>
        <w:t xml:space="preserve"> </w:t>
      </w:r>
      <w:r>
        <w:rPr>
          <w:rFonts w:hint="eastAsia" w:ascii="Times New Roman" w:hAnsi="Times New Roman" w:eastAsia="仿宋_GB2312" w:cs="Times New Roman"/>
          <w:b/>
          <w:bCs w:val="0"/>
          <w:sz w:val="28"/>
          <w:szCs w:val="28"/>
        </w:rPr>
        <w:t>公司</w:t>
      </w:r>
      <w:r>
        <w:rPr>
          <w:rFonts w:ascii="Times New Roman" w:hAnsi="Times New Roman" w:eastAsia="仿宋_GB2312" w:cs="Times New Roman"/>
          <w:b/>
          <w:bCs w:val="0"/>
          <w:sz w:val="28"/>
          <w:szCs w:val="28"/>
        </w:rPr>
        <w:t>周边环境</w:t>
      </w:r>
      <w:bookmarkEnd w:id="211"/>
      <w:bookmarkEnd w:id="212"/>
      <w:bookmarkEnd w:id="213"/>
      <w:bookmarkEnd w:id="214"/>
    </w:p>
    <w:p>
      <w:pPr>
        <w:spacing w:line="560" w:lineRule="exact"/>
        <w:ind w:firstLine="523" w:firstLineChars="187"/>
        <w:rPr>
          <w:rFonts w:hint="eastAsia"/>
        </w:rPr>
      </w:pPr>
      <w:r>
        <w:rPr>
          <w:rFonts w:hint="eastAsia" w:ascii="仿宋_GB2312" w:hAnsi="仿宋_GB2312" w:eastAsia="仿宋_GB2312" w:cs="仿宋_GB2312"/>
          <w:sz w:val="28"/>
          <w:szCs w:val="28"/>
        </w:rPr>
        <w:t>公司地处富平县</w:t>
      </w:r>
      <w:r>
        <w:rPr>
          <w:rFonts w:hint="eastAsia" w:ascii="仿宋_GB2312" w:hAnsi="仿宋_GB2312" w:eastAsia="仿宋_GB2312" w:cs="仿宋_GB2312"/>
          <w:sz w:val="28"/>
          <w:szCs w:val="28"/>
          <w:lang w:eastAsia="zh-CN"/>
        </w:rPr>
        <w:t>庄里工业园区</w:t>
      </w:r>
      <w:r>
        <w:rPr>
          <w:rFonts w:hint="eastAsia" w:ascii="仿宋_GB2312" w:hAnsi="仿宋_GB2312" w:eastAsia="仿宋_GB2312" w:cs="仿宋_GB2312"/>
          <w:sz w:val="28"/>
          <w:szCs w:val="28"/>
        </w:rPr>
        <w:t>，东临</w:t>
      </w:r>
      <w:r>
        <w:rPr>
          <w:rFonts w:hint="eastAsia" w:ascii="仿宋_GB2312" w:hAnsi="仿宋_GB2312" w:eastAsia="仿宋_GB2312" w:cs="仿宋_GB2312"/>
          <w:sz w:val="28"/>
          <w:szCs w:val="28"/>
          <w:lang w:eastAsia="zh-CN"/>
        </w:rPr>
        <w:t>园区工业预留土地</w:t>
      </w:r>
      <w:r>
        <w:rPr>
          <w:rFonts w:hint="eastAsia" w:ascii="仿宋_GB2312" w:hAnsi="仿宋_GB2312" w:eastAsia="仿宋_GB2312" w:cs="仿宋_GB2312"/>
          <w:sz w:val="28"/>
          <w:szCs w:val="28"/>
        </w:rPr>
        <w:t>，西接</w:t>
      </w:r>
      <w:r>
        <w:rPr>
          <w:rFonts w:hint="eastAsia" w:ascii="仿宋_GB2312" w:hAnsi="仿宋_GB2312" w:eastAsia="仿宋_GB2312" w:cs="仿宋_GB2312"/>
          <w:sz w:val="28"/>
          <w:szCs w:val="28"/>
          <w:lang w:eastAsia="zh-CN"/>
        </w:rPr>
        <w:t>工业二路南延</w:t>
      </w:r>
      <w:r>
        <w:rPr>
          <w:rFonts w:hint="eastAsia" w:ascii="仿宋_GB2312" w:hAnsi="仿宋_GB2312" w:eastAsia="仿宋_GB2312" w:cs="仿宋_GB2312"/>
          <w:sz w:val="28"/>
          <w:szCs w:val="28"/>
        </w:rPr>
        <w:t>，南邻</w:t>
      </w:r>
      <w:r>
        <w:rPr>
          <w:rFonts w:hint="eastAsia" w:ascii="仿宋_GB2312" w:hAnsi="仿宋_GB2312" w:eastAsia="仿宋_GB2312" w:cs="仿宋_GB2312"/>
          <w:sz w:val="28"/>
          <w:szCs w:val="28"/>
          <w:lang w:eastAsia="zh-CN"/>
        </w:rPr>
        <w:t>西北化工研究院</w:t>
      </w:r>
      <w:r>
        <w:rPr>
          <w:rFonts w:hint="eastAsia" w:ascii="仿宋_GB2312" w:hAnsi="仿宋_GB2312" w:eastAsia="仿宋_GB2312" w:cs="仿宋_GB2312"/>
          <w:sz w:val="28"/>
          <w:szCs w:val="28"/>
        </w:rPr>
        <w:t>，北</w:t>
      </w:r>
      <w:r>
        <w:rPr>
          <w:rFonts w:hint="eastAsia" w:ascii="仿宋_GB2312" w:hAnsi="仿宋_GB2312" w:eastAsia="仿宋_GB2312" w:cs="仿宋_GB2312"/>
          <w:sz w:val="28"/>
          <w:szCs w:val="28"/>
          <w:lang w:eastAsia="zh-CN"/>
        </w:rPr>
        <w:t>邻渭南奥派陶瓷厂</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西</w:t>
      </w:r>
      <w:r>
        <w:rPr>
          <w:rFonts w:hint="eastAsia" w:ascii="仿宋_GB2312" w:hAnsi="仿宋_GB2312" w:eastAsia="仿宋_GB2312" w:cs="仿宋_GB2312"/>
          <w:sz w:val="28"/>
          <w:szCs w:val="28"/>
        </w:rPr>
        <w:t>北</w:t>
      </w:r>
      <w:r>
        <w:rPr>
          <w:rFonts w:hint="eastAsia" w:ascii="仿宋_GB2312" w:hAnsi="仿宋_GB2312" w:eastAsia="仿宋_GB2312" w:cs="仿宋_GB2312"/>
          <w:sz w:val="28"/>
          <w:szCs w:val="28"/>
          <w:lang w:eastAsia="zh-CN"/>
        </w:rPr>
        <w:t>角</w:t>
      </w:r>
      <w:r>
        <w:rPr>
          <w:rFonts w:hint="eastAsia" w:ascii="仿宋_GB2312" w:hAnsi="仿宋_GB2312" w:eastAsia="仿宋_GB2312" w:cs="仿宋_GB2312"/>
          <w:sz w:val="28"/>
          <w:szCs w:val="28"/>
        </w:rPr>
        <w:t>有</w:t>
      </w:r>
      <w:r>
        <w:rPr>
          <w:rFonts w:hint="eastAsia" w:ascii="仿宋_GB2312" w:hAnsi="仿宋_GB2312" w:eastAsia="仿宋_GB2312" w:cs="仿宋_GB2312"/>
          <w:sz w:val="28"/>
          <w:szCs w:val="28"/>
          <w:lang w:eastAsia="zh-CN"/>
        </w:rPr>
        <w:t>觅子村</w:t>
      </w:r>
      <w:r>
        <w:rPr>
          <w:rFonts w:hint="eastAsia" w:ascii="仿宋_GB2312" w:hAnsi="仿宋_GB2312" w:eastAsia="仿宋_GB2312" w:cs="仿宋_GB2312"/>
          <w:sz w:val="28"/>
          <w:szCs w:val="28"/>
        </w:rPr>
        <w:t>居民住宅，距离生产区</w:t>
      </w:r>
      <w:r>
        <w:rPr>
          <w:rFonts w:hint="eastAsia" w:ascii="仿宋_GB2312" w:hAnsi="仿宋_GB2312" w:eastAsia="仿宋_GB2312" w:cs="仿宋_GB2312"/>
          <w:sz w:val="28"/>
          <w:szCs w:val="28"/>
          <w:lang w:val="en-US" w:eastAsia="zh-CN"/>
        </w:rPr>
        <w:t>200</w:t>
      </w:r>
      <w:r>
        <w:rPr>
          <w:rFonts w:hint="eastAsia" w:ascii="仿宋_GB2312" w:hAnsi="仿宋_GB2312" w:eastAsia="仿宋_GB2312" w:cs="仿宋_GB2312"/>
          <w:sz w:val="28"/>
          <w:szCs w:val="28"/>
        </w:rPr>
        <w:t>米。本厂区为</w:t>
      </w:r>
      <w:r>
        <w:rPr>
          <w:rFonts w:hint="eastAsia" w:ascii="仿宋_GB2312" w:hAnsi="仿宋_GB2312" w:eastAsia="仿宋_GB2312" w:cs="仿宋_GB2312"/>
          <w:sz w:val="28"/>
          <w:szCs w:val="28"/>
          <w:lang w:eastAsia="zh-CN"/>
        </w:rPr>
        <w:t>搬迁新建厂区，周边以工业企业为主，距离主要居民区</w:t>
      </w:r>
      <w:r>
        <w:rPr>
          <w:rFonts w:hint="eastAsia" w:ascii="仿宋_GB2312" w:hAnsi="仿宋_GB2312" w:eastAsia="仿宋_GB2312" w:cs="仿宋_GB2312"/>
          <w:sz w:val="28"/>
          <w:szCs w:val="28"/>
          <w:lang w:val="en-US" w:eastAsia="zh-CN"/>
        </w:rPr>
        <w:t>500米以上</w:t>
      </w:r>
      <w:r>
        <w:rPr>
          <w:rFonts w:hint="eastAsia" w:ascii="仿宋_GB2312" w:hAnsi="仿宋_GB2312" w:eastAsia="仿宋_GB2312" w:cs="仿宋_GB2312"/>
          <w:sz w:val="28"/>
          <w:szCs w:val="28"/>
        </w:rPr>
        <w:t>。</w:t>
      </w:r>
    </w:p>
    <w:p>
      <w:pPr>
        <w:pStyle w:val="12"/>
        <w:spacing w:line="560" w:lineRule="exact"/>
        <w:rPr>
          <w:rFonts w:ascii="Times New Roman" w:hAnsi="Times New Roman" w:eastAsia="仿宋_GB2312" w:cs="Times New Roman"/>
          <w:b/>
          <w:bCs w:val="0"/>
          <w:sz w:val="28"/>
          <w:szCs w:val="28"/>
        </w:rPr>
      </w:pPr>
      <w:bookmarkStart w:id="215" w:name="_Toc402516909"/>
      <w:bookmarkStart w:id="216" w:name="_Toc22942"/>
      <w:bookmarkStart w:id="217" w:name="_Toc5314"/>
      <w:bookmarkStart w:id="218" w:name="_Toc22289"/>
      <w:r>
        <w:rPr>
          <w:rFonts w:ascii="Times New Roman" w:hAnsi="Times New Roman" w:eastAsia="仿宋_GB2312" w:cs="Times New Roman"/>
          <w:bCs w:val="0"/>
          <w:sz w:val="28"/>
          <w:szCs w:val="28"/>
        </w:rPr>
        <w:t>2.</w:t>
      </w:r>
      <w:r>
        <w:rPr>
          <w:rFonts w:hint="eastAsia" w:ascii="Times New Roman" w:hAnsi="Times New Roman" w:eastAsia="仿宋_GB2312" w:cs="Times New Roman"/>
          <w:bCs w:val="0"/>
          <w:sz w:val="28"/>
          <w:szCs w:val="28"/>
          <w:lang w:val="en-US" w:eastAsia="zh-CN"/>
        </w:rPr>
        <w:t xml:space="preserve">3 </w:t>
      </w:r>
      <w:r>
        <w:rPr>
          <w:rFonts w:hint="eastAsia" w:ascii="Times New Roman" w:hAnsi="Times New Roman" w:eastAsia="仿宋_GB2312" w:cs="Times New Roman"/>
          <w:b/>
          <w:bCs w:val="0"/>
          <w:sz w:val="28"/>
          <w:szCs w:val="28"/>
        </w:rPr>
        <w:t>公司</w:t>
      </w:r>
      <w:r>
        <w:rPr>
          <w:rFonts w:ascii="Times New Roman" w:hAnsi="Times New Roman" w:eastAsia="仿宋_GB2312" w:cs="Times New Roman"/>
          <w:b/>
          <w:bCs w:val="0"/>
          <w:sz w:val="28"/>
          <w:szCs w:val="28"/>
        </w:rPr>
        <w:t>平面布置</w:t>
      </w:r>
      <w:bookmarkEnd w:id="215"/>
      <w:bookmarkEnd w:id="216"/>
      <w:bookmarkEnd w:id="217"/>
      <w:bookmarkEnd w:id="218"/>
    </w:p>
    <w:p>
      <w:pPr>
        <w:spacing w:line="560" w:lineRule="exact"/>
        <w:ind w:firstLine="523" w:firstLineChars="187"/>
      </w:pPr>
      <w:r>
        <w:rPr>
          <w:rFonts w:hint="eastAsia" w:ascii="仿宋_GB2312" w:hAnsi="仿宋_GB2312" w:eastAsia="仿宋_GB2312" w:cs="仿宋_GB2312"/>
          <w:sz w:val="28"/>
          <w:szCs w:val="28"/>
        </w:rPr>
        <w:t>公司占地面积</w:t>
      </w:r>
      <w:r>
        <w:rPr>
          <w:rFonts w:hint="eastAsia" w:ascii="仿宋_GB2312" w:hAnsi="仿宋_GB2312" w:eastAsia="仿宋_GB2312" w:cs="仿宋_GB2312"/>
          <w:sz w:val="28"/>
          <w:szCs w:val="28"/>
          <w:lang w:val="en-US" w:eastAsia="zh-CN"/>
        </w:rPr>
        <w:t>16</w:t>
      </w:r>
      <w:r>
        <w:rPr>
          <w:rFonts w:hint="eastAsia" w:ascii="仿宋_GB2312" w:hAnsi="仿宋_GB2312" w:eastAsia="仿宋_GB2312" w:cs="仿宋_GB2312"/>
          <w:sz w:val="28"/>
          <w:szCs w:val="28"/>
        </w:rPr>
        <w:t>万平方米，其中生产区占</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万平方米，库区</w:t>
      </w:r>
      <w:r>
        <w:rPr>
          <w:rFonts w:hint="eastAsia" w:ascii="仿宋_GB2312" w:hAnsi="仿宋_GB2312" w:eastAsia="仿宋_GB2312" w:cs="仿宋_GB2312"/>
          <w:sz w:val="28"/>
          <w:szCs w:val="28"/>
          <w:lang w:val="en-US" w:eastAsia="zh-CN"/>
        </w:rPr>
        <w:t>2万</w:t>
      </w:r>
      <w:r>
        <w:rPr>
          <w:rFonts w:hint="eastAsia" w:ascii="仿宋_GB2312" w:hAnsi="仿宋_GB2312" w:eastAsia="仿宋_GB2312" w:cs="仿宋_GB2312"/>
          <w:sz w:val="28"/>
          <w:szCs w:val="28"/>
        </w:rPr>
        <w:t>平方米，办公</w:t>
      </w:r>
      <w:r>
        <w:rPr>
          <w:rFonts w:hint="eastAsia" w:ascii="仿宋_GB2312" w:hAnsi="仿宋_GB2312" w:eastAsia="仿宋_GB2312" w:cs="仿宋_GB2312"/>
          <w:sz w:val="28"/>
          <w:szCs w:val="28"/>
          <w:lang w:eastAsia="zh-CN"/>
        </w:rPr>
        <w:t>及生活</w:t>
      </w:r>
      <w:r>
        <w:rPr>
          <w:rFonts w:hint="eastAsia" w:ascii="仿宋_GB2312" w:hAnsi="仿宋_GB2312" w:eastAsia="仿宋_GB2312" w:cs="仿宋_GB2312"/>
          <w:sz w:val="28"/>
          <w:szCs w:val="28"/>
        </w:rPr>
        <w:t>区</w:t>
      </w:r>
      <w:r>
        <w:rPr>
          <w:rFonts w:hint="eastAsia" w:ascii="仿宋_GB2312" w:hAnsi="仿宋_GB2312" w:eastAsia="仿宋_GB2312" w:cs="仿宋_GB2312"/>
          <w:sz w:val="28"/>
          <w:szCs w:val="28"/>
          <w:lang w:val="en-US" w:eastAsia="zh-CN"/>
        </w:rPr>
        <w:t>4万</w:t>
      </w:r>
      <w:r>
        <w:rPr>
          <w:rFonts w:hint="eastAsia" w:ascii="仿宋_GB2312" w:hAnsi="仿宋_GB2312" w:eastAsia="仿宋_GB2312" w:cs="仿宋_GB2312"/>
          <w:sz w:val="28"/>
          <w:szCs w:val="28"/>
        </w:rPr>
        <w:t>平方米。整个厂区设</w:t>
      </w:r>
      <w:r>
        <w:rPr>
          <w:rFonts w:hint="eastAsia" w:ascii="仿宋_GB2312" w:hAnsi="仿宋_GB2312" w:eastAsia="仿宋_GB2312" w:cs="仿宋_GB2312"/>
          <w:sz w:val="28"/>
          <w:szCs w:val="28"/>
          <w:lang w:eastAsia="zh-CN"/>
        </w:rPr>
        <w:t>五</w:t>
      </w:r>
      <w:r>
        <w:rPr>
          <w:rFonts w:hint="eastAsia" w:ascii="仿宋_GB2312" w:hAnsi="仿宋_GB2312" w:eastAsia="仿宋_GB2312" w:cs="仿宋_GB2312"/>
          <w:sz w:val="28"/>
          <w:szCs w:val="28"/>
        </w:rPr>
        <w:t>纵五横道路。厂区内办公区、</w:t>
      </w:r>
      <w:r>
        <w:rPr>
          <w:rFonts w:hint="eastAsia" w:ascii="仿宋_GB2312" w:hAnsi="仿宋_GB2312" w:eastAsia="仿宋_GB2312" w:cs="仿宋_GB2312"/>
          <w:sz w:val="28"/>
          <w:szCs w:val="28"/>
          <w:lang w:eastAsia="zh-CN"/>
        </w:rPr>
        <w:t>生活区、</w:t>
      </w:r>
      <w:r>
        <w:rPr>
          <w:rFonts w:hint="eastAsia" w:ascii="仿宋_GB2312" w:hAnsi="仿宋_GB2312" w:eastAsia="仿宋_GB2312" w:cs="仿宋_GB2312"/>
          <w:sz w:val="28"/>
          <w:szCs w:val="28"/>
        </w:rPr>
        <w:t>生产区、辅助区按功能划分布置，厂区周围设置了2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米高的实体墙体。</w:t>
      </w:r>
    </w:p>
    <w:p>
      <w:pPr>
        <w:pStyle w:val="12"/>
        <w:spacing w:line="560" w:lineRule="exact"/>
        <w:rPr>
          <w:rFonts w:ascii="Times New Roman" w:hAnsi="Times New Roman" w:eastAsia="仿宋_GB2312" w:cs="Times New Roman"/>
          <w:b/>
          <w:bCs w:val="0"/>
          <w:sz w:val="28"/>
          <w:szCs w:val="28"/>
        </w:rPr>
      </w:pPr>
      <w:bookmarkStart w:id="219" w:name="_Toc402516910"/>
      <w:bookmarkStart w:id="220" w:name="_Toc20247"/>
      <w:bookmarkStart w:id="221" w:name="_Toc23"/>
      <w:bookmarkStart w:id="222" w:name="_Toc6163"/>
      <w:r>
        <w:rPr>
          <w:rFonts w:ascii="Times New Roman" w:hAnsi="Times New Roman" w:eastAsia="仿宋_GB2312" w:cs="Times New Roman"/>
          <w:bCs w:val="0"/>
          <w:sz w:val="28"/>
          <w:szCs w:val="28"/>
        </w:rPr>
        <w:t>2.</w:t>
      </w:r>
      <w:r>
        <w:rPr>
          <w:rFonts w:hint="eastAsia" w:ascii="Times New Roman" w:hAnsi="Times New Roman" w:eastAsia="仿宋_GB2312" w:cs="Times New Roman"/>
          <w:bCs w:val="0"/>
          <w:sz w:val="28"/>
          <w:szCs w:val="28"/>
          <w:lang w:val="en-US" w:eastAsia="zh-CN"/>
        </w:rPr>
        <w:t xml:space="preserve">4 </w:t>
      </w:r>
      <w:r>
        <w:rPr>
          <w:rFonts w:hint="eastAsia" w:ascii="Times New Roman" w:hAnsi="Times New Roman" w:eastAsia="仿宋_GB2312" w:cs="Times New Roman"/>
          <w:b/>
          <w:bCs w:val="0"/>
          <w:sz w:val="28"/>
          <w:szCs w:val="28"/>
        </w:rPr>
        <w:t>公司</w:t>
      </w:r>
      <w:r>
        <w:rPr>
          <w:rFonts w:ascii="Times New Roman" w:hAnsi="Times New Roman" w:eastAsia="仿宋_GB2312" w:cs="Times New Roman"/>
          <w:b/>
          <w:bCs w:val="0"/>
          <w:sz w:val="28"/>
          <w:szCs w:val="28"/>
        </w:rPr>
        <w:t>地理位置</w:t>
      </w:r>
      <w:bookmarkEnd w:id="219"/>
      <w:bookmarkEnd w:id="220"/>
      <w:bookmarkEnd w:id="221"/>
      <w:bookmarkEnd w:id="222"/>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所处的富平县位于陕西省中部，关中平原和陕北高原的过渡地带，属渭北黄土高原沟壑区，总土地面积1233平方公里。地处东经108度57分～109度26分，北纬34度42分～35度06分之间，全县南北长48千米，东西宽35千米，东邻蒲城、渭南，南接西安市临潼区、阎良区，西连耀县、三原，北依铜川市。境内有西包、西禹高速公路和106省道，咸铜、西韩两条铁路通过，交通便利。</w:t>
      </w:r>
    </w:p>
    <w:p>
      <w:pPr>
        <w:pStyle w:val="12"/>
        <w:spacing w:line="560" w:lineRule="exact"/>
        <w:rPr>
          <w:rFonts w:ascii="Times New Roman" w:hAnsi="Times New Roman" w:eastAsia="仿宋_GB2312" w:cs="Times New Roman"/>
          <w:b/>
          <w:bCs w:val="0"/>
          <w:sz w:val="28"/>
          <w:szCs w:val="28"/>
        </w:rPr>
      </w:pPr>
      <w:bookmarkStart w:id="223" w:name="_Toc402516911"/>
      <w:bookmarkStart w:id="224" w:name="_Toc31972"/>
      <w:bookmarkStart w:id="225" w:name="_Toc12624"/>
      <w:bookmarkStart w:id="226" w:name="_Toc29868"/>
      <w:r>
        <w:rPr>
          <w:rFonts w:ascii="Times New Roman" w:hAnsi="Times New Roman" w:eastAsia="仿宋_GB2312" w:cs="Times New Roman"/>
          <w:bCs w:val="0"/>
          <w:sz w:val="28"/>
          <w:szCs w:val="28"/>
        </w:rPr>
        <w:t>2.</w:t>
      </w:r>
      <w:r>
        <w:rPr>
          <w:rFonts w:hint="eastAsia" w:ascii="Times New Roman" w:hAnsi="Times New Roman" w:eastAsia="仿宋_GB2312" w:cs="Times New Roman"/>
          <w:bCs w:val="0"/>
          <w:sz w:val="28"/>
          <w:szCs w:val="28"/>
          <w:lang w:val="en-US" w:eastAsia="zh-CN"/>
        </w:rPr>
        <w:t xml:space="preserve">5 </w:t>
      </w:r>
      <w:r>
        <w:rPr>
          <w:rFonts w:hint="eastAsia" w:ascii="Times New Roman" w:hAnsi="Times New Roman" w:eastAsia="仿宋_GB2312" w:cs="Times New Roman"/>
          <w:b/>
          <w:bCs w:val="0"/>
          <w:sz w:val="28"/>
          <w:szCs w:val="28"/>
        </w:rPr>
        <w:t>周边</w:t>
      </w:r>
      <w:r>
        <w:rPr>
          <w:rFonts w:ascii="Times New Roman" w:hAnsi="Times New Roman" w:eastAsia="仿宋_GB2312" w:cs="Times New Roman"/>
          <w:b/>
          <w:bCs w:val="0"/>
          <w:sz w:val="28"/>
          <w:szCs w:val="28"/>
        </w:rPr>
        <w:t>地质条件</w:t>
      </w:r>
      <w:bookmarkEnd w:id="223"/>
      <w:bookmarkEnd w:id="224"/>
      <w:bookmarkEnd w:id="225"/>
      <w:bookmarkEnd w:id="226"/>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公司所处的富平县处于鄂尔多斯地台南边缘，与渭河地堑北边缘的斜坡地带。海拔处于376～439米之间，地质构造以祁连、吕梁、贺兰山字型前弧东翼南段的成份为主，北西向断裂次之，受新华系干扰复合，地表大部分为疏松沉积物棗黄土覆盖。</w:t>
      </w:r>
    </w:p>
    <w:p>
      <w:pPr>
        <w:pStyle w:val="12"/>
        <w:spacing w:line="560" w:lineRule="exact"/>
        <w:rPr>
          <w:rFonts w:ascii="Times New Roman" w:hAnsi="Times New Roman" w:eastAsia="仿宋_GB2312" w:cs="Times New Roman"/>
          <w:b/>
          <w:bCs w:val="0"/>
          <w:sz w:val="28"/>
          <w:szCs w:val="28"/>
        </w:rPr>
      </w:pPr>
      <w:bookmarkStart w:id="227" w:name="_Toc402516912"/>
      <w:bookmarkStart w:id="228" w:name="_Toc30529"/>
      <w:bookmarkStart w:id="229" w:name="_Toc30633"/>
      <w:bookmarkStart w:id="230" w:name="_Toc21367"/>
      <w:r>
        <w:rPr>
          <w:rFonts w:ascii="Times New Roman" w:hAnsi="Times New Roman" w:eastAsia="仿宋_GB2312" w:cs="Times New Roman"/>
          <w:bCs w:val="0"/>
          <w:sz w:val="28"/>
          <w:szCs w:val="28"/>
        </w:rPr>
        <w:t>2.</w:t>
      </w:r>
      <w:r>
        <w:rPr>
          <w:rFonts w:hint="eastAsia" w:ascii="Times New Roman" w:hAnsi="Times New Roman" w:eastAsia="仿宋_GB2312" w:cs="Times New Roman"/>
          <w:bCs w:val="0"/>
          <w:sz w:val="28"/>
          <w:szCs w:val="28"/>
          <w:lang w:val="en-US" w:eastAsia="zh-CN"/>
        </w:rPr>
        <w:t xml:space="preserve">6 </w:t>
      </w:r>
      <w:r>
        <w:rPr>
          <w:rFonts w:hint="eastAsia" w:ascii="Times New Roman" w:hAnsi="Times New Roman" w:eastAsia="仿宋_GB2312" w:cs="Times New Roman"/>
          <w:b/>
          <w:bCs w:val="0"/>
          <w:sz w:val="28"/>
          <w:szCs w:val="28"/>
        </w:rPr>
        <w:t>周边</w:t>
      </w:r>
      <w:r>
        <w:rPr>
          <w:rFonts w:ascii="Times New Roman" w:hAnsi="Times New Roman" w:eastAsia="仿宋_GB2312" w:cs="Times New Roman"/>
          <w:b/>
          <w:bCs w:val="0"/>
          <w:sz w:val="28"/>
          <w:szCs w:val="28"/>
        </w:rPr>
        <w:t>气象条件</w:t>
      </w:r>
      <w:bookmarkEnd w:id="227"/>
      <w:bookmarkEnd w:id="228"/>
      <w:bookmarkEnd w:id="229"/>
      <w:bookmarkEnd w:id="230"/>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所在地属于大陆性季风暖温带半干旱型气候，四季分明，春季干旱，气候干燥，风沙大；夏季炎热，雨量集中；秋季降水较少；冬季少雪多风。平均气温13.1℃，年降水量533.3mm，主导风向为ENE，最大风速20m/s，地震指数为0～7°。</w:t>
      </w:r>
    </w:p>
    <w:p>
      <w:pPr>
        <w:pStyle w:val="12"/>
        <w:spacing w:line="560" w:lineRule="exact"/>
        <w:rPr>
          <w:rFonts w:ascii="Times New Roman" w:hAnsi="Times New Roman" w:eastAsia="仿宋_GB2312" w:cs="Times New Roman"/>
          <w:b/>
          <w:bCs w:val="0"/>
          <w:sz w:val="28"/>
          <w:szCs w:val="28"/>
        </w:rPr>
      </w:pPr>
      <w:bookmarkStart w:id="231" w:name="_Toc402516913"/>
      <w:bookmarkStart w:id="232" w:name="_Toc12682"/>
      <w:bookmarkStart w:id="233" w:name="_Toc15234"/>
      <w:bookmarkStart w:id="234" w:name="_Toc7941"/>
      <w:r>
        <w:rPr>
          <w:rFonts w:ascii="Times New Roman" w:hAnsi="Times New Roman" w:eastAsia="仿宋_GB2312" w:cs="Times New Roman"/>
          <w:bCs w:val="0"/>
          <w:sz w:val="28"/>
          <w:szCs w:val="28"/>
        </w:rPr>
        <w:t>2.</w:t>
      </w:r>
      <w:r>
        <w:rPr>
          <w:rFonts w:hint="eastAsia" w:ascii="Times New Roman" w:hAnsi="Times New Roman" w:eastAsia="仿宋_GB2312" w:cs="Times New Roman"/>
          <w:bCs w:val="0"/>
          <w:sz w:val="28"/>
          <w:szCs w:val="28"/>
          <w:lang w:val="en-US" w:eastAsia="zh-CN"/>
        </w:rPr>
        <w:t xml:space="preserve">7 </w:t>
      </w:r>
      <w:r>
        <w:rPr>
          <w:rFonts w:hint="eastAsia" w:ascii="Times New Roman" w:hAnsi="Times New Roman" w:eastAsia="仿宋_GB2312" w:cs="Times New Roman"/>
          <w:b/>
          <w:bCs w:val="0"/>
          <w:sz w:val="28"/>
          <w:szCs w:val="28"/>
        </w:rPr>
        <w:t>周边</w:t>
      </w:r>
      <w:r>
        <w:rPr>
          <w:rFonts w:ascii="Times New Roman" w:hAnsi="Times New Roman" w:eastAsia="仿宋_GB2312" w:cs="Times New Roman"/>
          <w:b/>
          <w:bCs w:val="0"/>
          <w:sz w:val="28"/>
          <w:szCs w:val="28"/>
        </w:rPr>
        <w:t>水文水系</w:t>
      </w:r>
      <w:bookmarkEnd w:id="231"/>
      <w:bookmarkEnd w:id="232"/>
      <w:bookmarkEnd w:id="233"/>
      <w:bookmarkEnd w:id="234"/>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富平县属黄河流域的渭河水系，渭河一级支流石川河是唯一的过境河流，仅夏、秋两季有短暂洪水过境，石川河的三条支流温泉河、赵氏河、顺阳河也都是洪水季节有水。全县地表水缺乏，地下水开采超量，客水可供量有限。 地表水主要是北部地区自产迳流，多年平均2359.7万立米，可利用量1006万立米。 自产迳流成水土流失，造成土壤瘠。地下水广泛分布在川原地区，以石川河阶地最好，山区沿山区最少，多年平均水量9256.05万立米，利用率139％， 形成超采。 </w:t>
      </w:r>
    </w:p>
    <w:p>
      <w:pPr>
        <w:pStyle w:val="12"/>
        <w:spacing w:line="560" w:lineRule="exact"/>
        <w:rPr>
          <w:rFonts w:ascii="Times New Roman" w:hAnsi="Times New Roman" w:eastAsia="仿宋_GB2312" w:cs="Times New Roman"/>
          <w:bCs w:val="0"/>
          <w:sz w:val="28"/>
          <w:szCs w:val="28"/>
        </w:rPr>
      </w:pPr>
      <w:bookmarkStart w:id="235" w:name="_Toc402516914"/>
    </w:p>
    <w:p>
      <w:pPr>
        <w:pStyle w:val="12"/>
        <w:spacing w:line="560" w:lineRule="exact"/>
        <w:rPr>
          <w:rFonts w:ascii="Times New Roman" w:hAnsi="Times New Roman" w:eastAsia="仿宋_GB2312" w:cs="Times New Roman"/>
          <w:b/>
          <w:bCs w:val="0"/>
          <w:sz w:val="28"/>
          <w:szCs w:val="28"/>
        </w:rPr>
      </w:pPr>
      <w:bookmarkStart w:id="236" w:name="_Toc10368"/>
      <w:bookmarkStart w:id="237" w:name="_Toc31870"/>
      <w:bookmarkStart w:id="238" w:name="_Toc29565"/>
      <w:r>
        <w:rPr>
          <w:rFonts w:ascii="Times New Roman" w:hAnsi="Times New Roman" w:eastAsia="仿宋_GB2312" w:cs="Times New Roman"/>
          <w:bCs w:val="0"/>
          <w:sz w:val="28"/>
          <w:szCs w:val="28"/>
        </w:rPr>
        <w:t>2.</w:t>
      </w:r>
      <w:r>
        <w:rPr>
          <w:rFonts w:hint="eastAsia" w:ascii="Times New Roman" w:hAnsi="Times New Roman" w:eastAsia="仿宋_GB2312" w:cs="Times New Roman"/>
          <w:bCs w:val="0"/>
          <w:sz w:val="28"/>
          <w:szCs w:val="28"/>
          <w:lang w:val="en-US" w:eastAsia="zh-CN"/>
        </w:rPr>
        <w:t>8</w:t>
      </w:r>
      <w:r>
        <w:rPr>
          <w:rFonts w:ascii="Times New Roman" w:hAnsi="Times New Roman" w:eastAsia="仿宋_GB2312" w:cs="Times New Roman"/>
          <w:b/>
          <w:bCs w:val="0"/>
          <w:sz w:val="28"/>
          <w:szCs w:val="28"/>
        </w:rPr>
        <w:t>周边环境敏感点</w:t>
      </w:r>
      <w:bookmarkEnd w:id="235"/>
      <w:bookmarkEnd w:id="236"/>
      <w:bookmarkEnd w:id="237"/>
      <w:bookmarkEnd w:id="238"/>
    </w:p>
    <w:p>
      <w:pPr>
        <w:spacing w:line="560" w:lineRule="exact"/>
        <w:ind w:firstLine="523" w:firstLineChars="187"/>
        <w:rPr>
          <w:rFonts w:hint="eastAsia" w:ascii="仿宋_GB2312" w:hAnsi="仿宋_GB2312" w:eastAsia="仿宋_GB2312" w:cs="仿宋_GB2312"/>
          <w:color w:val="auto"/>
          <w:sz w:val="28"/>
          <w:szCs w:val="28"/>
          <w:lang w:eastAsia="zh-CN"/>
        </w:rPr>
      </w:pPr>
      <w:bookmarkStart w:id="239" w:name="_Toc402516915"/>
      <w:r>
        <w:rPr>
          <w:rFonts w:hint="eastAsia" w:ascii="仿宋_GB2312" w:hAnsi="仿宋_GB2312" w:eastAsia="仿宋_GB2312" w:cs="仿宋_GB2312"/>
          <w:color w:val="auto"/>
          <w:sz w:val="28"/>
          <w:szCs w:val="28"/>
          <w:lang w:eastAsia="zh-CN"/>
        </w:rPr>
        <w:t>我公司周边主要存在以下敏感点：</w:t>
      </w:r>
    </w:p>
    <w:p>
      <w:pPr>
        <w:spacing w:line="560" w:lineRule="exact"/>
        <w:ind w:firstLine="523" w:firstLineChars="187"/>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①距离厂区东侧约</w:t>
      </w:r>
      <w:r>
        <w:rPr>
          <w:rFonts w:hint="eastAsia" w:ascii="仿宋_GB2312" w:hAnsi="仿宋_GB2312" w:eastAsia="仿宋_GB2312" w:cs="仿宋_GB2312"/>
          <w:color w:val="auto"/>
          <w:sz w:val="28"/>
          <w:szCs w:val="28"/>
          <w:lang w:val="en-US" w:eastAsia="zh-CN"/>
        </w:rPr>
        <w:t>1公里处为石川河，我公司雨水管网与市政雨水管网连通，下雨时雨水直接排放至石川河。当公司发生硫化钠溶液泄漏、火灾、爆炸等环境风险时，采取紧急处理措施时，可能将硫化钠碱性溶液带入石川河，造成环境污染；</w:t>
      </w:r>
    </w:p>
    <w:p>
      <w:pPr>
        <w:spacing w:line="560" w:lineRule="exact"/>
        <w:ind w:firstLine="523" w:firstLineChars="187"/>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②厂区南侧和西侧</w:t>
      </w:r>
      <w:r>
        <w:rPr>
          <w:rFonts w:hint="eastAsia" w:ascii="仿宋_GB2312" w:hAnsi="仿宋_GB2312" w:eastAsia="仿宋_GB2312" w:cs="仿宋_GB2312"/>
          <w:color w:val="auto"/>
          <w:sz w:val="28"/>
          <w:szCs w:val="28"/>
          <w:lang w:val="en-US" w:eastAsia="zh-CN"/>
        </w:rPr>
        <w:t>500米外有基本农田，因操作不当、事故等引起烟气超标排放，可能对农田产生环境污染；</w:t>
      </w:r>
    </w:p>
    <w:p>
      <w:pPr>
        <w:spacing w:line="560" w:lineRule="exact"/>
        <w:ind w:firstLine="523" w:firstLineChars="187"/>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③厂区东南、西北以及正西方向</w:t>
      </w:r>
      <w:r>
        <w:rPr>
          <w:rFonts w:hint="eastAsia" w:ascii="仿宋_GB2312" w:hAnsi="仿宋_GB2312" w:eastAsia="仿宋_GB2312" w:cs="仿宋_GB2312"/>
          <w:color w:val="auto"/>
          <w:sz w:val="28"/>
          <w:szCs w:val="28"/>
          <w:lang w:val="en-US" w:eastAsia="zh-CN"/>
        </w:rPr>
        <w:t>500米以外有庄里镇觅子管区村民居住，当发生火灾、爆炸等事故时，有毒有害气体可能对当地居民健康产生威胁；</w:t>
      </w:r>
    </w:p>
    <w:p>
      <w:pPr>
        <w:spacing w:line="560" w:lineRule="exact"/>
        <w:ind w:firstLine="523" w:firstLineChars="187"/>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④厂区正北方向</w:t>
      </w:r>
      <w:r>
        <w:rPr>
          <w:rFonts w:hint="eastAsia" w:ascii="仿宋_GB2312" w:hAnsi="仿宋_GB2312" w:eastAsia="仿宋_GB2312" w:cs="仿宋_GB2312"/>
          <w:color w:val="auto"/>
          <w:sz w:val="28"/>
          <w:szCs w:val="28"/>
          <w:lang w:val="en-US" w:eastAsia="zh-CN"/>
        </w:rPr>
        <w:t>500米范围内有5家地板砖生产企业，1家制管厂，1家建材企业，当发生重大环保事故时，有毒有害气体可能对人体产生伤害；</w:t>
      </w:r>
    </w:p>
    <w:p>
      <w:pPr>
        <w:spacing w:line="560" w:lineRule="exact"/>
        <w:ind w:firstLine="523" w:firstLineChars="187"/>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⑤</w:t>
      </w:r>
      <w:r>
        <w:rPr>
          <w:rFonts w:hint="eastAsia" w:ascii="仿宋_GB2312" w:hAnsi="仿宋_GB2312" w:eastAsia="仿宋_GB2312" w:cs="仿宋_GB2312"/>
          <w:color w:val="auto"/>
          <w:sz w:val="28"/>
          <w:szCs w:val="28"/>
          <w:lang w:eastAsia="zh-CN"/>
        </w:rPr>
        <w:t>觅子村水源地位于</w:t>
      </w:r>
      <w:r>
        <w:rPr>
          <w:rFonts w:hint="eastAsia" w:ascii="仿宋_GB2312" w:hAnsi="仿宋_GB2312" w:eastAsia="仿宋_GB2312" w:cs="仿宋_GB2312"/>
          <w:color w:val="auto"/>
          <w:sz w:val="28"/>
          <w:szCs w:val="28"/>
          <w:lang w:val="en-US" w:eastAsia="zh-CN"/>
        </w:rPr>
        <w:t>G210国道距离厂区5公里以上，且位于上游水系，且总体地势为西高东低，不存在污染风险；</w:t>
      </w:r>
    </w:p>
    <w:p>
      <w:pPr>
        <w:spacing w:line="560" w:lineRule="exact"/>
        <w:ind w:firstLine="523" w:firstLineChars="187"/>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⑥公司5公里范围内无自然保护区、文物保护基地、名胜古迹等敏感因素。</w:t>
      </w:r>
    </w:p>
    <w:p>
      <w:pPr>
        <w:pStyle w:val="12"/>
        <w:spacing w:line="560" w:lineRule="exact"/>
        <w:rPr>
          <w:rFonts w:ascii="Times New Roman" w:hAnsi="Times New Roman" w:eastAsia="仿宋_GB2312" w:cs="Times New Roman"/>
          <w:b/>
          <w:bCs w:val="0"/>
          <w:sz w:val="28"/>
          <w:szCs w:val="28"/>
        </w:rPr>
      </w:pPr>
      <w:bookmarkStart w:id="240" w:name="_Toc11355"/>
      <w:bookmarkStart w:id="241" w:name="_Toc24673"/>
      <w:bookmarkStart w:id="242" w:name="_Toc17373"/>
      <w:r>
        <w:rPr>
          <w:rFonts w:ascii="Times New Roman" w:hAnsi="Times New Roman" w:eastAsia="仿宋_GB2312" w:cs="Times New Roman"/>
          <w:bCs w:val="0"/>
          <w:sz w:val="28"/>
          <w:szCs w:val="28"/>
        </w:rPr>
        <w:t>3</w:t>
      </w:r>
      <w:r>
        <w:rPr>
          <w:rFonts w:hint="eastAsia" w:ascii="Times New Roman" w:hAnsi="Times New Roman" w:eastAsia="仿宋_GB2312" w:cs="Times New Roman"/>
          <w:bCs w:val="0"/>
          <w:sz w:val="28"/>
          <w:szCs w:val="28"/>
        </w:rPr>
        <w:t>．</w:t>
      </w:r>
      <w:r>
        <w:rPr>
          <w:rFonts w:ascii="Times New Roman" w:hAnsi="Times New Roman" w:eastAsia="仿宋_GB2312" w:cs="Times New Roman"/>
          <w:b/>
          <w:bCs w:val="0"/>
          <w:sz w:val="28"/>
          <w:szCs w:val="28"/>
        </w:rPr>
        <w:t>应急组织体系</w:t>
      </w:r>
      <w:bookmarkEnd w:id="239"/>
      <w:bookmarkEnd w:id="240"/>
      <w:bookmarkEnd w:id="241"/>
      <w:bookmarkEnd w:id="242"/>
    </w:p>
    <w:p>
      <w:pPr>
        <w:pStyle w:val="12"/>
        <w:spacing w:line="560" w:lineRule="exact"/>
        <w:rPr>
          <w:rFonts w:ascii="Times New Roman" w:hAnsi="Times New Roman" w:eastAsia="仿宋_GB2312" w:cs="Times New Roman"/>
          <w:b/>
          <w:bCs w:val="0"/>
          <w:kern w:val="2"/>
          <w:sz w:val="28"/>
          <w:szCs w:val="28"/>
        </w:rPr>
      </w:pPr>
      <w:bookmarkStart w:id="243" w:name="_Toc402516916"/>
      <w:bookmarkStart w:id="244" w:name="_Toc6147"/>
      <w:bookmarkStart w:id="245" w:name="_Toc6884"/>
      <w:bookmarkStart w:id="246" w:name="_Toc20441"/>
      <w:r>
        <w:rPr>
          <w:rFonts w:ascii="Times New Roman" w:hAnsi="Times New Roman" w:eastAsia="仿宋_GB2312" w:cs="Times New Roman"/>
          <w:bCs w:val="0"/>
          <w:sz w:val="28"/>
          <w:szCs w:val="28"/>
        </w:rPr>
        <w:t>3.1</w:t>
      </w:r>
      <w:r>
        <w:rPr>
          <w:rFonts w:ascii="Times New Roman" w:hAnsi="Times New Roman" w:eastAsia="仿宋_GB2312" w:cs="Times New Roman"/>
          <w:b/>
          <w:bCs w:val="0"/>
          <w:sz w:val="28"/>
          <w:szCs w:val="28"/>
        </w:rPr>
        <w:t>应急</w:t>
      </w:r>
      <w:r>
        <w:rPr>
          <w:rFonts w:hint="eastAsia" w:ascii="Times New Roman" w:hAnsi="Times New Roman" w:eastAsia="仿宋_GB2312" w:cs="Times New Roman"/>
          <w:b/>
          <w:bCs w:val="0"/>
          <w:sz w:val="28"/>
          <w:szCs w:val="28"/>
        </w:rPr>
        <w:t>救援</w:t>
      </w:r>
      <w:r>
        <w:rPr>
          <w:rFonts w:ascii="Times New Roman" w:hAnsi="Times New Roman" w:eastAsia="仿宋_GB2312" w:cs="Times New Roman"/>
          <w:b/>
          <w:bCs w:val="0"/>
          <w:sz w:val="28"/>
          <w:szCs w:val="28"/>
        </w:rPr>
        <w:t>领导小组</w:t>
      </w:r>
      <w:r>
        <w:rPr>
          <w:rFonts w:hint="eastAsia" w:ascii="Times New Roman" w:hAnsi="Times New Roman" w:eastAsia="仿宋_GB2312" w:cs="Times New Roman"/>
          <w:b/>
          <w:bCs w:val="0"/>
          <w:sz w:val="28"/>
          <w:szCs w:val="28"/>
        </w:rPr>
        <w:t>的组成</w:t>
      </w:r>
      <w:r>
        <w:rPr>
          <w:rFonts w:ascii="Times New Roman" w:hAnsi="Times New Roman" w:eastAsia="仿宋_GB2312" w:cs="Times New Roman"/>
          <w:b/>
          <w:bCs w:val="0"/>
          <w:kern w:val="2"/>
          <w:sz w:val="28"/>
          <w:szCs w:val="28"/>
        </w:rPr>
        <w:t>（应急指挥部）</w:t>
      </w:r>
      <w:bookmarkEnd w:id="243"/>
      <w:bookmarkEnd w:id="244"/>
      <w:bookmarkEnd w:id="245"/>
      <w:bookmarkEnd w:id="246"/>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总 指 挥：苏华雷（总经理）</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副总指挥：任小龙（常务副总）</w:t>
      </w:r>
      <w:r>
        <w:rPr>
          <w:rFonts w:hint="eastAsia" w:ascii="仿宋_GB2312" w:hAnsi="仿宋_GB2312" w:eastAsia="仿宋_GB2312" w:cs="仿宋_GB2312"/>
          <w:sz w:val="28"/>
          <w:szCs w:val="28"/>
          <w:lang w:eastAsia="zh-CN"/>
        </w:rPr>
        <w:t>、杜伟锋（总经理助理）</w:t>
      </w:r>
    </w:p>
    <w:p>
      <w:pPr>
        <w:spacing w:line="560" w:lineRule="exact"/>
        <w:ind w:firstLine="523" w:firstLineChars="187"/>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现场指挥：</w:t>
      </w:r>
      <w:r>
        <w:rPr>
          <w:rFonts w:hint="eastAsia" w:ascii="仿宋_GB2312" w:hAnsi="仿宋_GB2312" w:eastAsia="仿宋_GB2312" w:cs="仿宋_GB2312"/>
          <w:sz w:val="28"/>
          <w:szCs w:val="28"/>
          <w:lang w:eastAsia="zh-CN"/>
        </w:rPr>
        <w:t>杜伟峰</w:t>
      </w:r>
    </w:p>
    <w:p>
      <w:pPr>
        <w:spacing w:line="560" w:lineRule="exact"/>
        <w:ind w:firstLine="523" w:firstLineChars="187"/>
      </w:pPr>
      <w:r>
        <w:rPr>
          <w:rFonts w:hint="eastAsia" w:ascii="仿宋_GB2312" w:hAnsi="仿宋_GB2312" w:eastAsia="仿宋_GB2312" w:cs="仿宋_GB2312"/>
          <w:sz w:val="28"/>
          <w:szCs w:val="28"/>
        </w:rPr>
        <w:t>成    员：安环科科长、生产科科长、总经办主任、技术科科长、</w:t>
      </w:r>
      <w:r>
        <w:rPr>
          <w:rFonts w:hint="eastAsia" w:ascii="仿宋_GB2312" w:hAnsi="仿宋_GB2312" w:eastAsia="仿宋_GB2312" w:cs="仿宋_GB2312"/>
          <w:sz w:val="28"/>
          <w:szCs w:val="28"/>
          <w:lang w:eastAsia="zh-CN"/>
        </w:rPr>
        <w:t>财务科、党群办主任、保卫科科长、</w:t>
      </w:r>
      <w:r>
        <w:rPr>
          <w:rFonts w:hint="eastAsia" w:ascii="仿宋_GB2312" w:hAnsi="仿宋_GB2312" w:eastAsia="仿宋_GB2312" w:cs="仿宋_GB2312"/>
          <w:sz w:val="28"/>
          <w:szCs w:val="28"/>
        </w:rPr>
        <w:t>设备科科长、供应科科长、</w:t>
      </w:r>
      <w:r>
        <w:rPr>
          <w:rFonts w:hint="eastAsia" w:ascii="仿宋_GB2312" w:hAnsi="仿宋_GB2312" w:eastAsia="仿宋_GB2312" w:cs="仿宋_GB2312"/>
          <w:sz w:val="28"/>
          <w:szCs w:val="28"/>
          <w:lang w:eastAsia="zh-CN"/>
        </w:rPr>
        <w:t>储运科科长</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动力科科长、硝钡精制</w:t>
      </w:r>
      <w:r>
        <w:rPr>
          <w:rFonts w:hint="eastAsia" w:ascii="仿宋_GB2312" w:hAnsi="仿宋_GB2312" w:eastAsia="仿宋_GB2312" w:cs="仿宋_GB2312"/>
          <w:sz w:val="28"/>
          <w:szCs w:val="28"/>
        </w:rPr>
        <w:t>车间主任、低铁硫化钠车间主任、超细钡车间主任、精细钡车间主任</w:t>
      </w:r>
      <w:r>
        <w:rPr>
          <w:rFonts w:hint="eastAsia" w:ascii="仿宋_GB2312" w:hAnsi="仿宋_GB2312" w:eastAsia="仿宋_GB2312" w:cs="仿宋_GB2312"/>
          <w:sz w:val="28"/>
          <w:szCs w:val="28"/>
          <w:lang w:eastAsia="zh-CN"/>
        </w:rPr>
        <w:t>。</w:t>
      </w: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应急救援领导小组办公室设在安环科，办公室主任由安环科科长兼任。</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24小时</w:t>
      </w:r>
      <w:r>
        <w:rPr>
          <w:rFonts w:hint="eastAsia" w:ascii="仿宋_GB2312" w:hAnsi="仿宋_GB2312" w:eastAsia="仿宋_GB2312" w:cs="仿宋_GB2312"/>
          <w:sz w:val="28"/>
          <w:szCs w:val="28"/>
        </w:rPr>
        <w:t>应急电话： 0913-2267903/2267928   13891448677（6825）</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应急救援领导小组工作职责：</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（1）贯彻执行政府部门关于突发环境污染事件发生和应急救援的方针、政策及有关规定。</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（2）制定、修改环境污染事件应急救援预案，组建环境污染事件应急救援队伍，有计划地组织实施环境污染事件应急救援的培训和演习。</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（3）审批并落实环境污染事件应急救援所需的监测仪器、防护器材、救援器材等物资。</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（4）检查、督促做好环境污染事件的预防措施和应急救援的各项准备工作。</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（5）批准应急救援的启动和终止。</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（6）及时向上级部门报告环境污染事件的具体情况，必要时向有关单位发出增援请求，并向周边单位通报相关情况。</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（7）组织指挥救援队伍实施救援行动，负责人员资源配置，应急队伍的调动。</w:t>
      </w:r>
    </w:p>
    <w:p>
      <w:pPr>
        <w:spacing w:line="560" w:lineRule="exact"/>
        <w:rPr>
          <w:rFonts w:hint="eastAsia" w:ascii="仿宋_GB2312" w:hAnsi="仿宋_GB2312" w:eastAsia="仿宋_GB2312" w:cs="仿宋_GB2312"/>
          <w:b/>
          <w:bCs/>
          <w:sz w:val="28"/>
          <w:szCs w:val="28"/>
        </w:rPr>
      </w:pPr>
      <w:bookmarkStart w:id="247" w:name="_Toc402516917"/>
      <w:bookmarkStart w:id="248" w:name="_Toc6932"/>
      <w:bookmarkStart w:id="249" w:name="_Toc26825"/>
      <w:bookmarkStart w:id="250" w:name="_Toc16707"/>
      <w:r>
        <w:rPr>
          <w:rFonts w:hint="eastAsia" w:ascii="仿宋_GB2312" w:hAnsi="仿宋_GB2312" w:eastAsia="仿宋_GB2312" w:cs="仿宋_GB2312"/>
          <w:b/>
          <w:bCs/>
          <w:sz w:val="28"/>
          <w:szCs w:val="28"/>
        </w:rPr>
        <w:t>3.2应急救援专业队伍</w:t>
      </w:r>
      <w:bookmarkEnd w:id="247"/>
      <w:r>
        <w:rPr>
          <w:rFonts w:hint="eastAsia" w:ascii="仿宋_GB2312" w:hAnsi="仿宋_GB2312" w:eastAsia="仿宋_GB2312" w:cs="仿宋_GB2312"/>
          <w:b/>
          <w:bCs/>
          <w:sz w:val="28"/>
          <w:szCs w:val="28"/>
          <w:lang w:eastAsia="zh-CN"/>
        </w:rPr>
        <w:t>及</w:t>
      </w:r>
      <w:r>
        <w:rPr>
          <w:rFonts w:hint="eastAsia" w:ascii="仿宋_GB2312" w:hAnsi="仿宋_GB2312" w:eastAsia="仿宋_GB2312" w:cs="仿宋_GB2312"/>
          <w:b/>
          <w:bCs/>
          <w:sz w:val="28"/>
          <w:szCs w:val="28"/>
        </w:rPr>
        <w:t>职责分工</w:t>
      </w:r>
      <w:bookmarkEnd w:id="248"/>
      <w:bookmarkEnd w:id="249"/>
      <w:bookmarkEnd w:id="250"/>
    </w:p>
    <w:p>
      <w:pPr>
        <w:spacing w:line="560" w:lineRule="exact"/>
        <w:ind w:firstLine="523" w:firstLineChars="187"/>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rPr>
        <w:t>在发生事故时，各应急小组按各自职责分工开展应急救援工作。通</w:t>
      </w:r>
      <w:r>
        <w:rPr>
          <w:rFonts w:hint="eastAsia" w:ascii="仿宋_GB2312" w:hAnsi="仿宋_GB2312" w:eastAsia="仿宋_GB2312" w:cs="仿宋_GB2312"/>
          <w:color w:val="auto"/>
          <w:sz w:val="28"/>
          <w:szCs w:val="28"/>
        </w:rPr>
        <w:t xml:space="preserve">过平时的演习、训练，完善事故应急预案。各应急小组成员组成及其主要职责职下： </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（1）应急指挥组</w:t>
      </w:r>
    </w:p>
    <w:p>
      <w:pPr>
        <w:pStyle w:val="27"/>
        <w:spacing w:line="360" w:lineRule="auto"/>
        <w:ind w:firstLine="6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应急指挥组由</w:t>
      </w:r>
      <w:r>
        <w:rPr>
          <w:rFonts w:hint="eastAsia" w:ascii="仿宋_GB2312" w:hAnsi="仿宋_GB2312" w:eastAsia="仿宋_GB2312" w:cs="仿宋_GB2312"/>
          <w:sz w:val="28"/>
          <w:szCs w:val="28"/>
          <w:lang w:eastAsia="zh-CN"/>
        </w:rPr>
        <w:t>苏华雷</w:t>
      </w:r>
      <w:r>
        <w:rPr>
          <w:rFonts w:hint="eastAsia" w:ascii="仿宋_GB2312" w:hAnsi="仿宋_GB2312" w:eastAsia="仿宋_GB2312" w:cs="仿宋_GB2312"/>
          <w:sz w:val="28"/>
          <w:szCs w:val="28"/>
        </w:rPr>
        <w:t>担任组长，公司主要职能部门的负责人担任小组成员。应急指挥小组主要职责如下：</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①在日常工作中，负责制订和管理应急预案，配置应急人员、应急装备，对外签订相关应急支援协议，并制定应急演习工作计划和组织应急演习等；</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②在事故发生时，负责应急指挥、调度、协调等工作，包括就是否需要外部应急/救援力量做出决策。</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③第一时间接警，启动紧急联络网，对整体行动进行指挥并保持联络，并根据事故等级，下达启动应急预案指令，同时向地方政府和上级应急处理指挥部报告； </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④负责制定</w:t>
      </w:r>
      <w:r>
        <w:rPr>
          <w:rFonts w:hint="eastAsia" w:ascii="仿宋_GB2312" w:hAnsi="仿宋_GB2312" w:eastAsia="仿宋_GB2312" w:cs="仿宋_GB2312"/>
          <w:sz w:val="28"/>
          <w:szCs w:val="28"/>
          <w:lang w:eastAsia="zh-CN"/>
        </w:rPr>
        <w:t>危险化学品</w:t>
      </w:r>
      <w:r>
        <w:rPr>
          <w:rFonts w:hint="eastAsia" w:ascii="仿宋_GB2312" w:hAnsi="仿宋_GB2312" w:eastAsia="仿宋_GB2312" w:cs="仿宋_GB2312"/>
          <w:sz w:val="28"/>
          <w:szCs w:val="28"/>
        </w:rPr>
        <w:t xml:space="preserve">事故的应急方案并组织现场实施，做好事故处置、控制和善后工作，消除事故影响； </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⑤落实环境污染事故应急处理指挥部的指令。</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⑥当紧急情况解除后，发出解除警报的信息。</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⑦组织事故调查，评估事故损失情况，总结经验教训。</w:t>
      </w:r>
    </w:p>
    <w:p>
      <w:pPr>
        <w:pStyle w:val="27"/>
        <w:numPr>
          <w:ilvl w:val="0"/>
          <w:numId w:val="0"/>
        </w:numPr>
        <w:spacing w:line="36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⑧督促做好重大紧急事故的预防措施和紧急救援的各项准备工作</w:t>
      </w:r>
    </w:p>
    <w:p>
      <w:pPr>
        <w:pStyle w:val="27"/>
        <w:numPr>
          <w:ilvl w:val="0"/>
          <w:numId w:val="0"/>
        </w:numPr>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（2）综合协调组</w:t>
      </w:r>
    </w:p>
    <w:p>
      <w:pPr>
        <w:pStyle w:val="27"/>
        <w:numPr>
          <w:ilvl w:val="0"/>
          <w:numId w:val="0"/>
        </w:numPr>
        <w:spacing w:line="360" w:lineRule="auto"/>
        <w:ind w:firstLine="56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组长：生产科长，成员：生产调度、各车间负责人，主要职责如下：</w:t>
      </w:r>
    </w:p>
    <w:p>
      <w:pPr>
        <w:pStyle w:val="27"/>
        <w:numPr>
          <w:ilvl w:val="0"/>
          <w:numId w:val="0"/>
        </w:numPr>
        <w:spacing w:line="36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①</w:t>
      </w:r>
      <w:r>
        <w:rPr>
          <w:rFonts w:hint="eastAsia" w:ascii="仿宋_GB2312" w:hAnsi="仿宋_GB2312" w:eastAsia="仿宋_GB2312" w:cs="仿宋_GB2312"/>
          <w:sz w:val="28"/>
          <w:szCs w:val="28"/>
        </w:rPr>
        <w:t>组织现场救援队伍, 并采取行动, 控制现场局面。</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②</w:t>
      </w:r>
      <w:r>
        <w:rPr>
          <w:rFonts w:hint="eastAsia" w:ascii="仿宋_GB2312" w:hAnsi="仿宋_GB2312" w:eastAsia="仿宋_GB2312" w:cs="仿宋_GB2312"/>
          <w:sz w:val="28"/>
          <w:szCs w:val="28"/>
        </w:rPr>
        <w:t>协调现场资源, 利用现场器材或设施进行现场应急处理。</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③</w:t>
      </w:r>
      <w:r>
        <w:rPr>
          <w:rFonts w:hint="eastAsia" w:ascii="仿宋_GB2312" w:hAnsi="仿宋_GB2312" w:eastAsia="仿宋_GB2312" w:cs="仿宋_GB2312"/>
          <w:sz w:val="28"/>
          <w:szCs w:val="28"/>
        </w:rPr>
        <w:t>负责指挥部门内在可能的情况下，将贵重物品、文件以优先顺序搬出，危险品搬到安全地带。</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④</w:t>
      </w:r>
      <w:r>
        <w:rPr>
          <w:rFonts w:hint="eastAsia" w:ascii="仿宋_GB2312" w:hAnsi="仿宋_GB2312" w:eastAsia="仿宋_GB2312" w:cs="仿宋_GB2312"/>
          <w:sz w:val="28"/>
          <w:szCs w:val="28"/>
        </w:rPr>
        <w:t xml:space="preserve">负责事故现场调查取证；调查分析主要污染物种类、污染程度和范围，对周边生态环境影响； </w:t>
      </w:r>
    </w:p>
    <w:p>
      <w:pPr>
        <w:pStyle w:val="27"/>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⑤</w:t>
      </w:r>
      <w:r>
        <w:rPr>
          <w:rFonts w:hint="eastAsia" w:ascii="仿宋_GB2312" w:hAnsi="仿宋_GB2312" w:eastAsia="仿宋_GB2312" w:cs="仿宋_GB2312"/>
          <w:sz w:val="28"/>
          <w:szCs w:val="28"/>
        </w:rPr>
        <w:t xml:space="preserve">进行环境污染事故经济损失评估，并对应急预案进行及时总结，协助领导小组完成事故应急预案的修改或完善工作； </w:t>
      </w:r>
    </w:p>
    <w:p>
      <w:pPr>
        <w:pStyle w:val="27"/>
        <w:numPr>
          <w:ilvl w:val="0"/>
          <w:numId w:val="0"/>
        </w:numPr>
        <w:spacing w:line="360" w:lineRule="auto"/>
        <w:rPr>
          <w:rFonts w:ascii="宋体" w:hAnsi="宋体" w:eastAsia="宋体" w:cs="仿宋_GB2312"/>
        </w:rPr>
      </w:pPr>
      <w:r>
        <w:rPr>
          <w:rFonts w:hint="eastAsia" w:ascii="仿宋_GB2312" w:hAnsi="仿宋_GB2312" w:eastAsia="仿宋_GB2312" w:cs="仿宋_GB2312"/>
          <w:sz w:val="28"/>
          <w:szCs w:val="28"/>
          <w:lang w:val="en-US" w:eastAsia="zh-CN"/>
        </w:rPr>
        <w:t xml:space="preserve">    ⑥</w:t>
      </w:r>
      <w:r>
        <w:rPr>
          <w:rFonts w:hint="eastAsia" w:ascii="仿宋_GB2312" w:hAnsi="仿宋_GB2312" w:eastAsia="仿宋_GB2312" w:cs="仿宋_GB2312"/>
          <w:sz w:val="28"/>
          <w:szCs w:val="28"/>
        </w:rPr>
        <w:t>负责编制环境污染事故报告，并将事故报告向上级部门汇报。</w:t>
      </w:r>
      <w:r>
        <w:rPr>
          <w:rFonts w:ascii="宋体" w:hAnsi="宋体" w:eastAsia="宋体" w:cs="仿宋_GB2312"/>
        </w:rPr>
        <w:t xml:space="preserve"> </w:t>
      </w:r>
    </w:p>
    <w:p>
      <w:pPr>
        <w:pStyle w:val="28"/>
        <w:spacing w:line="36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（3）疏散警戒组</w:t>
      </w:r>
    </w:p>
    <w:p>
      <w:pPr>
        <w:pStyle w:val="27"/>
        <w:numPr>
          <w:ilvl w:val="0"/>
          <w:numId w:val="0"/>
        </w:numPr>
        <w:spacing w:line="360" w:lineRule="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组长：保卫科科长，成员：保卫科、责任车间，主要职责如下：</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①听到疏散信号后，指挥人员疏散。</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②保证所有人已经从工作区域疏散。</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③疏散后负责各部门列队，指挥各部门负责人清点人数后汇总。</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④将疏散结果向指挥部报告。</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⑤在事故现场设置警戒线，不允许不必要人员和车辆进入，对事故现场外围区域进行保卫，建立应急救援“绿色通道”。</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⑥外来救援组织到来时引导救援组织进入现场。</w:t>
      </w:r>
    </w:p>
    <w:p>
      <w:pPr>
        <w:pStyle w:val="28"/>
        <w:spacing w:line="360" w:lineRule="auto"/>
        <w:ind w:firstLine="560" w:firstLineChars="200"/>
        <w:rPr>
          <w:rFonts w:hint="eastAsia" w:ascii="宋体" w:hAnsi="宋体" w:eastAsia="宋体" w:cs="仿宋_GB2312"/>
          <w:color w:val="auto"/>
        </w:rPr>
      </w:pPr>
      <w:r>
        <w:rPr>
          <w:rFonts w:hint="eastAsia" w:ascii="仿宋_GB2312" w:hAnsi="仿宋_GB2312" w:eastAsia="仿宋_GB2312" w:cs="仿宋_GB2312"/>
          <w:color w:val="auto"/>
          <w:sz w:val="28"/>
          <w:szCs w:val="28"/>
        </w:rPr>
        <w:t>⑧配合医疗救护组或外来组织抢救被困伤员。</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w:t>
      </w:r>
      <w:r>
        <w:rPr>
          <w:rFonts w:hint="eastAsia" w:ascii="仿宋_GB2312" w:hAnsi="仿宋_GB2312" w:eastAsia="仿宋_GB2312" w:cs="仿宋_GB2312"/>
          <w:color w:val="auto"/>
          <w:sz w:val="28"/>
          <w:szCs w:val="28"/>
          <w:lang w:eastAsia="zh-CN"/>
        </w:rPr>
        <w:t>医疗救护</w:t>
      </w:r>
      <w:r>
        <w:rPr>
          <w:rFonts w:hint="eastAsia" w:ascii="仿宋_GB2312" w:hAnsi="仿宋_GB2312" w:eastAsia="仿宋_GB2312" w:cs="仿宋_GB2312"/>
          <w:color w:val="auto"/>
          <w:sz w:val="28"/>
          <w:szCs w:val="28"/>
        </w:rPr>
        <w:t>组</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组长：党群办主任，成员：党群办人员、工会成员，主要职责：</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①转移伤员至安全区域，并对伤员进行紧急处理。</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②必要时向指挥部申请请求外部120支援。</w:t>
      </w:r>
    </w:p>
    <w:p>
      <w:pPr>
        <w:pStyle w:val="28"/>
        <w:spacing w:line="360" w:lineRule="auto"/>
        <w:ind w:firstLine="560" w:firstLineChars="200"/>
        <w:rPr>
          <w:rFonts w:hint="eastAsia" w:ascii="宋体" w:hAnsi="宋体" w:eastAsia="宋体" w:cs="仿宋_GB2312"/>
          <w:color w:val="auto"/>
        </w:rPr>
      </w:pPr>
      <w:r>
        <w:rPr>
          <w:rFonts w:hint="eastAsia" w:ascii="仿宋_GB2312" w:hAnsi="仿宋_GB2312" w:eastAsia="仿宋_GB2312" w:cs="仿宋_GB2312"/>
          <w:color w:val="auto"/>
          <w:sz w:val="28"/>
          <w:szCs w:val="28"/>
        </w:rPr>
        <w:t>③护送伤员到相应医院抢救，并向指挥部随时报告伤员病情变化情况。</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（5）</w:t>
      </w:r>
      <w:r>
        <w:rPr>
          <w:rFonts w:hint="eastAsia" w:ascii="仿宋_GB2312" w:hAnsi="仿宋_GB2312" w:eastAsia="仿宋_GB2312" w:cs="仿宋_GB2312"/>
          <w:color w:val="auto"/>
          <w:sz w:val="28"/>
          <w:szCs w:val="28"/>
          <w:lang w:eastAsia="zh-CN"/>
        </w:rPr>
        <w:t>设备电力保障组</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组长：设备科科长，成员：机修及电工班成员，主要职责：</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①灾害发生时负责机械设备和电气设备的紧急处理，设备抢修，切断电源和恢复供电等。</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②事故消除后，尽快组织力量抢修厂内的供电、供水等重要设施，尽快恢复功能</w:t>
      </w:r>
      <w:r>
        <w:rPr>
          <w:rFonts w:hint="eastAsia" w:ascii="仿宋_GB2312" w:hAnsi="仿宋_GB2312" w:eastAsia="仿宋_GB2312" w:cs="仿宋_GB2312"/>
          <w:color w:val="auto"/>
          <w:sz w:val="28"/>
          <w:szCs w:val="28"/>
          <w:lang w:eastAsia="zh-CN"/>
        </w:rPr>
        <w:t>。</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）后勤保障组</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组长：总经办主任，成员：总经办成员及车间核算员，主要职责：</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①准备应急防护用品，放置在应急物资室，并定期清理和维护。</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②在事故发生时及时将有关应急装备、安全防护品、现场应急处置材料等应急物资运送到事故现场； </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③负责厂区内的治安警戒、治安管理和安全保卫工作，预防和打击违法犯罪活动，维护厂内交通秩序； </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④负责厂内车辆及装备的调度。</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rPr>
        <w:t>）信息联络组</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组长：总经办主任，成员：总经办人员、通信员，主要职责：</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①承担与当地区域或各职能管理部门的应急指挥机构的联系工作，及时将事故发生情况及最新进展向有关部门汇报，并将上级指挥机构的命令及时向应急指挥小组汇报； </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②编制新闻发布方案，决定新闻发布内容，负责新闻发布，接受记者采访，管理采访的中外记者；</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③收集、跟踪舆论，及时向上级或有关部门汇报、通报情况；</w:t>
      </w:r>
    </w:p>
    <w:p>
      <w:pPr>
        <w:pStyle w:val="28"/>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④通过各种方式，有针对性地解疑释惑，澄清事实，批驳谣言，引导舆论；</w:t>
      </w:r>
    </w:p>
    <w:p>
      <w:pPr>
        <w:spacing w:line="560" w:lineRule="exact"/>
        <w:ind w:firstLine="523" w:firstLineChars="18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）专家技术组</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组长：技术科科长，成员：技术科成员，主要职责：</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负责事件发生时的技术保障工作，解决事件抢救过程中遇到的技术难题，确定污染区域范围，对事件造成的环境影响进行评估，制定环境</w:t>
      </w:r>
      <w:r>
        <w:rPr>
          <w:rFonts w:hint="eastAsia" w:ascii="仿宋_GB2312" w:hAnsi="仿宋_GB2312" w:eastAsia="仿宋_GB2312" w:cs="仿宋_GB2312"/>
          <w:color w:val="auto"/>
          <w:sz w:val="28"/>
          <w:szCs w:val="28"/>
          <w:lang w:eastAsia="zh-CN"/>
        </w:rPr>
        <w:t>修复方案并组织实施。</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lang w:eastAsia="zh-CN"/>
        </w:rPr>
        <w:t>）事件调查及环境监测组</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组长：安环科科长，成员：安环科成员，主要职责：</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①负责事后的事件调查工作并作出事件处理初步意见。</w:t>
      </w:r>
    </w:p>
    <w:p>
      <w:pPr>
        <w:pStyle w:val="28"/>
        <w:spacing w:line="360" w:lineRule="auto"/>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②根据事件的影响范围及程度，负责联联系环保部门进行相关的环境监测工作。</w:t>
      </w:r>
    </w:p>
    <w:p>
      <w:pPr>
        <w:pStyle w:val="12"/>
        <w:spacing w:line="560" w:lineRule="exact"/>
        <w:rPr>
          <w:rFonts w:ascii="Times New Roman" w:hAnsi="Times New Roman" w:eastAsia="仿宋_GB2312" w:cs="Times New Roman"/>
          <w:b/>
          <w:bCs w:val="0"/>
          <w:sz w:val="28"/>
          <w:szCs w:val="28"/>
        </w:rPr>
      </w:pPr>
      <w:bookmarkStart w:id="251" w:name="_Toc402516918"/>
      <w:bookmarkStart w:id="252" w:name="_Toc31923"/>
      <w:bookmarkStart w:id="253" w:name="_Toc14079"/>
      <w:bookmarkStart w:id="254" w:name="_Toc18139"/>
      <w:r>
        <w:rPr>
          <w:rFonts w:ascii="Times New Roman" w:hAnsi="Times New Roman" w:eastAsia="仿宋_GB2312" w:cs="Times New Roman"/>
          <w:bCs w:val="0"/>
          <w:sz w:val="28"/>
          <w:szCs w:val="28"/>
        </w:rPr>
        <w:t>4</w:t>
      </w:r>
      <w:r>
        <w:rPr>
          <w:rFonts w:hint="eastAsia" w:ascii="Times New Roman" w:hAnsi="Times New Roman" w:eastAsia="仿宋_GB2312" w:cs="Times New Roman"/>
          <w:bCs w:val="0"/>
          <w:sz w:val="28"/>
          <w:szCs w:val="28"/>
        </w:rPr>
        <w:t>．</w:t>
      </w:r>
      <w:r>
        <w:rPr>
          <w:rFonts w:ascii="Times New Roman" w:hAnsi="Times New Roman" w:eastAsia="仿宋_GB2312" w:cs="Times New Roman"/>
          <w:b/>
          <w:bCs w:val="0"/>
          <w:sz w:val="28"/>
          <w:szCs w:val="28"/>
        </w:rPr>
        <w:t>环境风险分析</w:t>
      </w:r>
      <w:bookmarkEnd w:id="251"/>
      <w:bookmarkEnd w:id="252"/>
      <w:bookmarkEnd w:id="253"/>
      <w:bookmarkEnd w:id="254"/>
    </w:p>
    <w:p>
      <w:pPr>
        <w:pStyle w:val="12"/>
        <w:spacing w:line="560" w:lineRule="exact"/>
        <w:rPr>
          <w:rFonts w:ascii="Times New Roman" w:hAnsi="Times New Roman" w:eastAsia="仿宋_GB2312" w:cs="Times New Roman"/>
          <w:b/>
          <w:bCs w:val="0"/>
          <w:sz w:val="28"/>
          <w:szCs w:val="28"/>
        </w:rPr>
      </w:pPr>
      <w:bookmarkStart w:id="255" w:name="_Toc402516919"/>
      <w:bookmarkStart w:id="256" w:name="_Toc8340"/>
      <w:bookmarkStart w:id="257" w:name="_Toc21534"/>
      <w:bookmarkStart w:id="258" w:name="_Toc6845"/>
      <w:r>
        <w:rPr>
          <w:rFonts w:ascii="Times New Roman" w:hAnsi="Times New Roman" w:eastAsia="仿宋_GB2312" w:cs="Times New Roman"/>
          <w:bCs w:val="0"/>
          <w:sz w:val="28"/>
          <w:szCs w:val="28"/>
        </w:rPr>
        <w:t>4.1</w:t>
      </w:r>
      <w:r>
        <w:rPr>
          <w:rFonts w:ascii="Times New Roman" w:hAnsi="Times New Roman" w:eastAsia="仿宋_GB2312" w:cs="Times New Roman"/>
          <w:b/>
          <w:bCs w:val="0"/>
          <w:sz w:val="28"/>
          <w:szCs w:val="28"/>
        </w:rPr>
        <w:t>环境风险评价</w:t>
      </w:r>
      <w:bookmarkEnd w:id="255"/>
      <w:bookmarkEnd w:id="256"/>
      <w:bookmarkEnd w:id="257"/>
      <w:bookmarkEnd w:id="258"/>
    </w:p>
    <w:p>
      <w:pPr>
        <w:spacing w:line="360" w:lineRule="auto"/>
        <w:ind w:firstLine="560" w:firstLineChars="2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lang w:eastAsia="zh-CN"/>
        </w:rPr>
        <w:t>）主要危险物质</w:t>
      </w:r>
    </w:p>
    <w:p>
      <w:pPr>
        <w:spacing w:line="360" w:lineRule="auto"/>
        <w:ind w:firstLine="560" w:firstLineChars="200"/>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eastAsia="zh-CN"/>
        </w:rPr>
        <w:t>我公司涉及的化学品及产品为一般毒性物质，且在液体下的挥发性较小，在正常使用中经过一定的化学反应后排放，对周围环境和人体造成的影响在一定可控范围内。中间产物硫化钡及酸洗工序产物硫化氢有毒，若发生泄漏或报警失灵等事故，可能造成环境影响。其化学性质和对人体的危害性和危险性见附表</w:t>
      </w:r>
      <w:r>
        <w:rPr>
          <w:rFonts w:hint="eastAsia" w:ascii="仿宋_GB2312" w:hAnsi="仿宋_GB2312" w:eastAsia="仿宋_GB2312" w:cs="仿宋_GB2312"/>
          <w:color w:val="000000"/>
          <w:sz w:val="28"/>
          <w:szCs w:val="28"/>
          <w:lang w:val="en-US" w:eastAsia="zh-CN"/>
        </w:rPr>
        <w:t>1-2。</w:t>
      </w:r>
    </w:p>
    <w:p>
      <w:pPr>
        <w:spacing w:line="360" w:lineRule="auto"/>
        <w:ind w:firstLine="562" w:firstLineChars="200"/>
        <w:jc w:val="center"/>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表</w:t>
      </w:r>
      <w:r>
        <w:rPr>
          <w:rFonts w:hint="eastAsia" w:ascii="仿宋_GB2312" w:hAnsi="仿宋_GB2312" w:eastAsia="仿宋_GB2312" w:cs="仿宋_GB2312"/>
          <w:b/>
          <w:color w:val="000000"/>
          <w:sz w:val="28"/>
          <w:szCs w:val="28"/>
          <w:lang w:val="en-US" w:eastAsia="zh-CN"/>
        </w:rPr>
        <w:t>1</w:t>
      </w:r>
      <w:r>
        <w:rPr>
          <w:rFonts w:hint="eastAsia" w:ascii="仿宋_GB2312" w:hAnsi="仿宋_GB2312" w:eastAsia="仿宋_GB2312" w:cs="仿宋_GB2312"/>
          <w:b/>
          <w:color w:val="000000"/>
          <w:sz w:val="28"/>
          <w:szCs w:val="28"/>
        </w:rPr>
        <w:t xml:space="preserve">  </w:t>
      </w:r>
      <w:r>
        <w:rPr>
          <w:rFonts w:hint="eastAsia" w:ascii="仿宋_GB2312" w:hAnsi="仿宋_GB2312" w:eastAsia="仿宋_GB2312" w:cs="仿宋_GB2312"/>
          <w:b/>
          <w:color w:val="000000"/>
          <w:sz w:val="28"/>
          <w:szCs w:val="28"/>
          <w:lang w:eastAsia="zh-CN"/>
        </w:rPr>
        <w:t>危险</w:t>
      </w:r>
      <w:r>
        <w:rPr>
          <w:rFonts w:hint="eastAsia" w:ascii="仿宋_GB2312" w:hAnsi="仿宋_GB2312" w:eastAsia="仿宋_GB2312" w:cs="仿宋_GB2312"/>
          <w:b/>
          <w:color w:val="000000"/>
          <w:sz w:val="28"/>
          <w:szCs w:val="28"/>
        </w:rPr>
        <w:t>化学品理化性质</w:t>
      </w:r>
    </w:p>
    <w:tbl>
      <w:tblPr>
        <w:tblStyle w:val="26"/>
        <w:tblW w:w="85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55"/>
        <w:gridCol w:w="6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pacing w:line="360" w:lineRule="auto"/>
              <w:jc w:val="center"/>
              <w:rPr>
                <w:rFonts w:hint="eastAsia" w:ascii="宋体" w:hAnsi="宋体"/>
                <w:color w:val="000000"/>
                <w:szCs w:val="21"/>
              </w:rPr>
            </w:pPr>
            <w:r>
              <w:rPr>
                <w:rFonts w:hint="eastAsia" w:ascii="宋体" w:hAnsi="宋体"/>
                <w:color w:val="000000"/>
                <w:szCs w:val="21"/>
              </w:rPr>
              <w:t>序号</w:t>
            </w:r>
          </w:p>
        </w:tc>
        <w:tc>
          <w:tcPr>
            <w:tcW w:w="1155" w:type="dxa"/>
            <w:vAlign w:val="center"/>
          </w:tcPr>
          <w:p>
            <w:pPr>
              <w:spacing w:line="360" w:lineRule="auto"/>
              <w:jc w:val="center"/>
              <w:rPr>
                <w:rFonts w:hint="eastAsia" w:ascii="宋体" w:hAnsi="宋体"/>
                <w:color w:val="000000"/>
                <w:szCs w:val="21"/>
              </w:rPr>
            </w:pPr>
            <w:r>
              <w:rPr>
                <w:rFonts w:hint="eastAsia" w:ascii="宋体" w:hAnsi="宋体"/>
                <w:color w:val="000000"/>
                <w:szCs w:val="21"/>
              </w:rPr>
              <w:t>物质名称</w:t>
            </w:r>
          </w:p>
        </w:tc>
        <w:tc>
          <w:tcPr>
            <w:tcW w:w="6720" w:type="dxa"/>
            <w:vAlign w:val="center"/>
          </w:tcPr>
          <w:p>
            <w:pPr>
              <w:spacing w:line="360" w:lineRule="auto"/>
              <w:jc w:val="center"/>
              <w:rPr>
                <w:rFonts w:hint="eastAsia" w:ascii="宋体" w:hAnsi="宋体"/>
                <w:color w:val="000000"/>
                <w:szCs w:val="21"/>
              </w:rPr>
            </w:pPr>
            <w:r>
              <w:rPr>
                <w:rFonts w:hint="eastAsia" w:ascii="宋体" w:hAnsi="宋体"/>
                <w:color w:val="000000"/>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pacing w:line="360" w:lineRule="auto"/>
              <w:jc w:val="center"/>
              <w:rPr>
                <w:rFonts w:hint="eastAsia" w:ascii="宋体" w:hAnsi="宋体" w:eastAsia="宋体"/>
                <w:color w:val="000000"/>
                <w:szCs w:val="21"/>
                <w:lang w:eastAsia="zh-CN"/>
              </w:rPr>
            </w:pPr>
            <w:r>
              <w:rPr>
                <w:rFonts w:hint="eastAsia" w:ascii="宋体" w:hAnsi="宋体"/>
                <w:color w:val="000000"/>
                <w:szCs w:val="21"/>
                <w:lang w:val="en-US" w:eastAsia="zh-CN"/>
              </w:rPr>
              <w:t>1</w:t>
            </w:r>
          </w:p>
        </w:tc>
        <w:tc>
          <w:tcPr>
            <w:tcW w:w="1155"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硫酸</w:t>
            </w:r>
          </w:p>
        </w:tc>
        <w:tc>
          <w:tcPr>
            <w:tcW w:w="6720" w:type="dxa"/>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firstLineChars="200"/>
              <w:jc w:val="left"/>
              <w:rPr>
                <w:rFonts w:hint="eastAsia" w:ascii="宋体" w:hAnsi="宋体" w:cs="Arial"/>
                <w:color w:val="000000"/>
                <w:kern w:val="0"/>
                <w:szCs w:val="21"/>
              </w:rPr>
            </w:pPr>
            <w:r>
              <w:rPr>
                <w:rFonts w:ascii="宋体" w:hAnsi="宋体" w:cs="Arial"/>
                <w:color w:val="000000"/>
                <w:kern w:val="0"/>
                <w:szCs w:val="21"/>
              </w:rPr>
              <w:t>具有强氧化性，是六大无机强酸</w:t>
            </w:r>
            <w:r>
              <w:rPr>
                <w:rFonts w:hint="eastAsia" w:ascii="宋体" w:hAnsi="宋体" w:cs="Arial"/>
                <w:color w:val="000000"/>
                <w:kern w:val="0"/>
                <w:szCs w:val="21"/>
              </w:rPr>
              <w:t>之</w:t>
            </w:r>
            <w:r>
              <w:rPr>
                <w:rFonts w:ascii="宋体" w:hAnsi="宋体" w:cs="Arial"/>
                <w:color w:val="000000"/>
                <w:kern w:val="0"/>
                <w:szCs w:val="21"/>
              </w:rPr>
              <w:t>一。</w:t>
            </w:r>
            <w:r>
              <w:rPr>
                <w:rFonts w:hint="eastAsia" w:ascii="宋体" w:hAnsi="宋体" w:cs="Arial"/>
                <w:color w:val="000000"/>
                <w:kern w:val="0"/>
                <w:szCs w:val="21"/>
              </w:rPr>
              <w:t>几乎能与所有的金属及氧化物、氢氧化物反应。</w:t>
            </w:r>
            <w:r>
              <w:rPr>
                <w:rFonts w:ascii="宋体" w:hAnsi="宋体" w:cs="Arial"/>
                <w:color w:val="000000"/>
                <w:kern w:val="0"/>
                <w:szCs w:val="21"/>
              </w:rPr>
              <w:t xml:space="preserve">由于浓硫酸中含有大量未电离的硫酸分子，所以具有吸水性、脱水性和强氧化性等特殊性质；而在稀硫酸中，硫酸分子已经完全电离，所以不具有浓硫酸的特殊化学性质。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firstLineChars="200"/>
              <w:jc w:val="left"/>
              <w:rPr>
                <w:rFonts w:hint="eastAsia" w:ascii="宋体" w:hAnsi="宋体"/>
                <w:color w:val="000000"/>
                <w:szCs w:val="21"/>
              </w:rPr>
            </w:pPr>
            <w:r>
              <w:rPr>
                <w:rFonts w:ascii="宋体" w:hAnsi="宋体" w:cs="Arial"/>
                <w:color w:val="000000"/>
                <w:kern w:val="0"/>
                <w:szCs w:val="21"/>
              </w:rPr>
              <w:t>常用的浓硫酸中H</w:t>
            </w:r>
            <w:r>
              <w:rPr>
                <w:rFonts w:ascii="宋体" w:hAnsi="宋体" w:cs="Arial"/>
                <w:color w:val="000000"/>
                <w:kern w:val="0"/>
                <w:szCs w:val="21"/>
                <w:vertAlign w:val="subscript"/>
              </w:rPr>
              <w:t>2</w:t>
            </w:r>
            <w:r>
              <w:rPr>
                <w:rFonts w:ascii="宋体" w:hAnsi="宋体" w:cs="Arial"/>
                <w:color w:val="000000"/>
                <w:kern w:val="0"/>
                <w:szCs w:val="21"/>
              </w:rPr>
              <w:t>SO</w:t>
            </w:r>
            <w:r>
              <w:rPr>
                <w:rFonts w:ascii="宋体" w:hAnsi="宋体" w:cs="Arial"/>
                <w:color w:val="000000"/>
                <w:kern w:val="0"/>
                <w:szCs w:val="21"/>
                <w:vertAlign w:val="subscript"/>
              </w:rPr>
              <w:t>4</w:t>
            </w:r>
            <w:r>
              <w:rPr>
                <w:rFonts w:ascii="宋体" w:hAnsi="宋体" w:cs="Arial"/>
                <w:color w:val="000000"/>
                <w:kern w:val="0"/>
                <w:szCs w:val="21"/>
              </w:rPr>
              <w:t>的质量分数为98.3%，其密度为1.84g·cm</w:t>
            </w:r>
            <w:r>
              <w:rPr>
                <w:rFonts w:ascii="宋体" w:hAnsi="宋体" w:cs="Arial"/>
                <w:color w:val="000000"/>
                <w:kern w:val="0"/>
                <w:szCs w:val="21"/>
                <w:vertAlign w:val="superscript"/>
              </w:rPr>
              <w:t>-3</w:t>
            </w:r>
            <w:r>
              <w:rPr>
                <w:rFonts w:ascii="宋体" w:hAnsi="宋体" w:cs="Arial"/>
                <w:color w:val="000000"/>
                <w:kern w:val="0"/>
                <w:szCs w:val="21"/>
              </w:rPr>
              <w:t>，其物质的量浓度为18.4mol·L</w:t>
            </w:r>
            <w:r>
              <w:rPr>
                <w:rFonts w:ascii="宋体" w:hAnsi="宋体" w:cs="Arial"/>
                <w:color w:val="000000"/>
                <w:kern w:val="0"/>
                <w:szCs w:val="21"/>
                <w:vertAlign w:val="superscript"/>
              </w:rPr>
              <w:t>-1</w:t>
            </w:r>
            <w:r>
              <w:rPr>
                <w:rFonts w:ascii="宋体" w:hAnsi="宋体" w:cs="Arial"/>
                <w:color w:val="000000"/>
                <w:kern w:val="0"/>
                <w:szCs w:val="21"/>
              </w:rPr>
              <w:t>。98.3%时，熔点：10℃；沸点：338℃。硫酸是一种高沸点难挥发的强酸，易溶于水，能以任意比与水混溶。浓硫酸溶解时放出大量的热，因此浓硫酸稀释时应该“酸入水，沿器壁，慢慢倒，不断搅。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pacing w:line="360" w:lineRule="auto"/>
              <w:jc w:val="center"/>
              <w:rPr>
                <w:rFonts w:hint="eastAsia" w:ascii="宋体" w:hAnsi="宋体" w:eastAsia="宋体"/>
                <w:color w:val="000000"/>
                <w:szCs w:val="21"/>
                <w:lang w:eastAsia="zh-CN"/>
              </w:rPr>
            </w:pPr>
            <w:r>
              <w:rPr>
                <w:rFonts w:hint="eastAsia" w:ascii="宋体" w:hAnsi="宋体"/>
                <w:color w:val="000000"/>
                <w:szCs w:val="21"/>
                <w:lang w:val="en-US" w:eastAsia="zh-CN"/>
              </w:rPr>
              <w:t>2</w:t>
            </w:r>
          </w:p>
        </w:tc>
        <w:tc>
          <w:tcPr>
            <w:tcW w:w="1155" w:type="dxa"/>
            <w:vAlign w:val="center"/>
          </w:tcPr>
          <w:p>
            <w:pPr>
              <w:spacing w:line="360" w:lineRule="auto"/>
              <w:jc w:val="center"/>
              <w:rPr>
                <w:rFonts w:hint="eastAsia" w:ascii="宋体" w:hAnsi="宋体" w:eastAsia="宋体"/>
                <w:color w:val="000000"/>
                <w:szCs w:val="21"/>
                <w:lang w:eastAsia="zh-CN"/>
              </w:rPr>
            </w:pPr>
            <w:r>
              <w:rPr>
                <w:rFonts w:hint="eastAsia" w:ascii="宋体" w:hAnsi="宋体"/>
                <w:color w:val="000000"/>
                <w:szCs w:val="21"/>
                <w:lang w:eastAsia="zh-CN"/>
              </w:rPr>
              <w:t>二氧化硫</w:t>
            </w:r>
          </w:p>
        </w:tc>
        <w:tc>
          <w:tcPr>
            <w:tcW w:w="6720" w:type="dxa"/>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firstLineChars="200"/>
              <w:jc w:val="left"/>
              <w:rPr>
                <w:rFonts w:hint="eastAsia" w:ascii="宋体" w:hAnsi="宋体" w:cs="Arial"/>
                <w:color w:val="000000"/>
                <w:kern w:val="0"/>
                <w:szCs w:val="21"/>
              </w:rPr>
            </w:pPr>
            <w:r>
              <w:rPr>
                <w:rFonts w:hint="eastAsia" w:ascii="宋体" w:hAnsi="宋体" w:cs="Arial"/>
                <w:color w:val="000000"/>
                <w:kern w:val="0"/>
                <w:szCs w:val="21"/>
              </w:rPr>
              <w:t>二氧化硫为无色透明气体，有刺激性臭味。 溶于水、乙醇和乙醚。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firstLineChars="200"/>
              <w:jc w:val="left"/>
              <w:rPr>
                <w:rFonts w:hint="eastAsia" w:ascii="宋体" w:hAnsi="宋体" w:cs="Arial"/>
                <w:color w:val="000000"/>
                <w:kern w:val="0"/>
                <w:szCs w:val="21"/>
              </w:rPr>
            </w:pPr>
            <w:r>
              <w:rPr>
                <w:rFonts w:hint="eastAsia" w:ascii="宋体" w:hAnsi="宋体" w:cs="Arial"/>
                <w:color w:val="000000"/>
                <w:kern w:val="0"/>
                <w:szCs w:val="21"/>
              </w:rPr>
              <w:t>液态二氧化硫比较稳定，不活泼。气态二氧化硫加热到2000℃不分解。不燃烧，与空气也不组成爆炸性混合物。</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firstLineChars="200"/>
              <w:jc w:val="left"/>
              <w:rPr>
                <w:rFonts w:hint="eastAsia" w:ascii="宋体" w:hAnsi="宋体" w:cs="Arial"/>
                <w:color w:val="000000"/>
                <w:kern w:val="0"/>
                <w:szCs w:val="21"/>
              </w:rPr>
            </w:pPr>
            <w:r>
              <w:rPr>
                <w:rFonts w:hint="eastAsia" w:ascii="宋体" w:hAnsi="宋体" w:cs="Arial"/>
                <w:color w:val="000000"/>
                <w:kern w:val="0"/>
                <w:szCs w:val="21"/>
              </w:rPr>
              <w:t>在常温下，潮湿的二氧化硫与硫化氢反应析出硫。在高温及催化剂存在的条件下，可被氢还原成为硫化氢，被一氧化碳还原成硫。强氧化剂可将二氧化硫氧化成三氧化硫，仅在催化剂存在时，氧气才能使二氧化硫氧化为三氧化硫。具有自燃性，无助燃性。液态二氧化硫能溶解如胺、醚、醇、苯酚、有机酸、芳香烃等有机化合物，多数饱和烃不能溶解。有一定的水溶性，与水及水蒸气作用生成有毒及腐蚀性蒸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pacing w:line="360" w:lineRule="auto"/>
              <w:jc w:val="center"/>
              <w:rPr>
                <w:rFonts w:hint="eastAsia" w:ascii="宋体" w:hAnsi="宋体" w:eastAsia="宋体"/>
                <w:color w:val="000000"/>
                <w:szCs w:val="21"/>
                <w:lang w:eastAsia="zh-CN"/>
              </w:rPr>
            </w:pPr>
            <w:r>
              <w:rPr>
                <w:rFonts w:hint="eastAsia" w:ascii="宋体" w:hAnsi="宋体"/>
                <w:color w:val="000000"/>
                <w:szCs w:val="21"/>
                <w:lang w:val="en-US" w:eastAsia="zh-CN"/>
              </w:rPr>
              <w:t>3</w:t>
            </w:r>
          </w:p>
        </w:tc>
        <w:tc>
          <w:tcPr>
            <w:tcW w:w="1155"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硫化钡</w:t>
            </w:r>
          </w:p>
        </w:tc>
        <w:tc>
          <w:tcPr>
            <w:tcW w:w="6720" w:type="dxa"/>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firstLineChars="200"/>
              <w:jc w:val="left"/>
              <w:rPr>
                <w:rFonts w:hint="eastAsia" w:ascii="宋体" w:hAnsi="宋体" w:cs="Arial"/>
                <w:color w:val="000000"/>
                <w:kern w:val="0"/>
                <w:szCs w:val="21"/>
              </w:rPr>
            </w:pPr>
            <w:r>
              <w:rPr>
                <w:rFonts w:hint="eastAsia" w:ascii="宋体" w:hAnsi="宋体" w:cs="Arial"/>
                <w:color w:val="000000"/>
                <w:kern w:val="0"/>
                <w:szCs w:val="21"/>
              </w:rPr>
              <w:t>碱性腐蚀品，白色或灰白色结晶粉末，工业品是淡棕色黑色粉末，也有块状，易吸潮水解，微溶于水，性质稳定，相对密度4.25，</w:t>
            </w:r>
            <w:r>
              <w:rPr>
                <w:rFonts w:ascii="宋体" w:hAnsi="宋体" w:cs="Arial"/>
                <w:color w:val="000000"/>
                <w:kern w:val="0"/>
                <w:szCs w:val="21"/>
              </w:rPr>
              <w:t>熔点</w:t>
            </w:r>
            <w:r>
              <w:rPr>
                <w:rFonts w:hint="eastAsia" w:ascii="宋体" w:hAnsi="宋体" w:cs="Arial"/>
                <w:color w:val="000000"/>
                <w:kern w:val="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pacing w:line="360" w:lineRule="auto"/>
              <w:jc w:val="center"/>
              <w:rPr>
                <w:rFonts w:hint="eastAsia" w:ascii="宋体" w:hAnsi="宋体" w:eastAsia="宋体"/>
                <w:color w:val="000000"/>
                <w:szCs w:val="21"/>
                <w:lang w:eastAsia="zh-CN"/>
              </w:rPr>
            </w:pPr>
            <w:r>
              <w:rPr>
                <w:rFonts w:hint="eastAsia" w:ascii="宋体" w:hAnsi="宋体"/>
                <w:color w:val="000000"/>
                <w:szCs w:val="21"/>
                <w:lang w:val="en-US" w:eastAsia="zh-CN"/>
              </w:rPr>
              <w:t>4</w:t>
            </w:r>
          </w:p>
        </w:tc>
        <w:tc>
          <w:tcPr>
            <w:tcW w:w="1155"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硫化钠</w:t>
            </w:r>
          </w:p>
        </w:tc>
        <w:tc>
          <w:tcPr>
            <w:tcW w:w="6720" w:type="dxa"/>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firstLineChars="200"/>
              <w:jc w:val="left"/>
              <w:rPr>
                <w:rFonts w:hint="eastAsia" w:ascii="宋体" w:hAnsi="宋体"/>
                <w:color w:val="000000"/>
                <w:szCs w:val="21"/>
              </w:rPr>
            </w:pPr>
            <w:r>
              <w:rPr>
                <w:rFonts w:hint="eastAsia" w:ascii="宋体" w:hAnsi="宋体" w:cs="Arial"/>
                <w:color w:val="000000"/>
                <w:kern w:val="0"/>
                <w:szCs w:val="21"/>
              </w:rPr>
              <w:t>别名硫化碱，常为红褐色和砖红色块状或片状，纯品为无色或米黄色颗粒结晶，具有臭味，见光色变，久露空气则变为灰黑色。密度1.856，熔点1180℃（无水），工业硫化碱一般是带不同的结晶水的混合物。易潮解，有腐蚀性，在空气中易氧化，遇强酸发生硫化氢，能溶于冷水，易溶于热水，水溶液呈碱性，微溶于醇，不溶于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Align w:val="center"/>
          </w:tcPr>
          <w:p>
            <w:pPr>
              <w:spacing w:line="360" w:lineRule="auto"/>
              <w:jc w:val="center"/>
              <w:rPr>
                <w:rFonts w:hint="eastAsia" w:ascii="宋体" w:hAnsi="宋体" w:eastAsia="宋体"/>
                <w:color w:val="000000"/>
                <w:szCs w:val="21"/>
                <w:lang w:eastAsia="zh-CN"/>
              </w:rPr>
            </w:pPr>
            <w:r>
              <w:rPr>
                <w:rFonts w:hint="eastAsia" w:ascii="宋体" w:hAnsi="宋体"/>
                <w:color w:val="000000"/>
                <w:szCs w:val="21"/>
                <w:lang w:val="en-US" w:eastAsia="zh-CN"/>
              </w:rPr>
              <w:t>5</w:t>
            </w:r>
          </w:p>
        </w:tc>
        <w:tc>
          <w:tcPr>
            <w:tcW w:w="1155"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硫化氢</w:t>
            </w:r>
          </w:p>
        </w:tc>
        <w:tc>
          <w:tcPr>
            <w:tcW w:w="6720" w:type="dxa"/>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firstLineChars="200"/>
              <w:jc w:val="left"/>
              <w:rPr>
                <w:rFonts w:hint="eastAsia" w:ascii="宋体" w:hAnsi="宋体" w:cs="Arial"/>
                <w:color w:val="000000"/>
                <w:kern w:val="0"/>
                <w:szCs w:val="21"/>
              </w:rPr>
            </w:pPr>
            <w:r>
              <w:rPr>
                <w:rFonts w:hint="eastAsia" w:ascii="宋体" w:hAnsi="宋体" w:cs="Arial"/>
                <w:color w:val="000000"/>
                <w:kern w:val="0"/>
                <w:szCs w:val="21"/>
              </w:rPr>
              <w:t>无色气体，具有臭鸡蛋味，相对密度1.19，熔点-82.9℃，沸点-61.8℃，燃点292℃，易溶于水、醇类、石油溶剂和原油中。</w:t>
            </w:r>
          </w:p>
        </w:tc>
      </w:tr>
    </w:tbl>
    <w:p>
      <w:pPr>
        <w:spacing w:line="360" w:lineRule="auto"/>
        <w:ind w:firstLine="562" w:firstLineChars="200"/>
        <w:jc w:val="center"/>
        <w:rPr>
          <w:rFonts w:hint="eastAsia" w:ascii="仿宋_GB2312" w:hAnsi="仿宋_GB2312" w:eastAsia="仿宋_GB2312" w:cs="仿宋_GB2312"/>
          <w:b/>
          <w:color w:val="000000"/>
          <w:sz w:val="28"/>
          <w:szCs w:val="28"/>
        </w:rPr>
      </w:pPr>
    </w:p>
    <w:p>
      <w:pPr>
        <w:spacing w:line="360" w:lineRule="auto"/>
        <w:ind w:firstLine="562" w:firstLineChars="200"/>
        <w:jc w:val="center"/>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表</w:t>
      </w:r>
      <w:r>
        <w:rPr>
          <w:rFonts w:hint="eastAsia" w:ascii="仿宋_GB2312" w:hAnsi="仿宋_GB2312" w:eastAsia="仿宋_GB2312" w:cs="仿宋_GB2312"/>
          <w:b/>
          <w:color w:val="000000"/>
          <w:sz w:val="28"/>
          <w:szCs w:val="28"/>
          <w:lang w:val="en-US" w:eastAsia="zh-CN"/>
        </w:rPr>
        <w:t>2</w:t>
      </w:r>
      <w:r>
        <w:rPr>
          <w:rFonts w:hint="eastAsia" w:ascii="仿宋_GB2312" w:hAnsi="仿宋_GB2312" w:eastAsia="仿宋_GB2312" w:cs="仿宋_GB2312"/>
          <w:b/>
          <w:color w:val="000000"/>
          <w:sz w:val="28"/>
          <w:szCs w:val="28"/>
        </w:rPr>
        <w:t xml:space="preserve">  化学品危险性</w:t>
      </w:r>
    </w:p>
    <w:tbl>
      <w:tblPr>
        <w:tblStyle w:val="26"/>
        <w:tblW w:w="87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575"/>
        <w:gridCol w:w="1890"/>
        <w:gridCol w:w="8"/>
        <w:gridCol w:w="3570"/>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Align w:val="center"/>
          </w:tcPr>
          <w:p>
            <w:pPr>
              <w:jc w:val="center"/>
              <w:rPr>
                <w:rFonts w:hint="eastAsia" w:ascii="宋体" w:hAnsi="宋体"/>
                <w:color w:val="000000"/>
                <w:szCs w:val="21"/>
              </w:rPr>
            </w:pPr>
            <w:r>
              <w:rPr>
                <w:rFonts w:hint="eastAsia" w:ascii="宋体" w:hAnsi="宋体"/>
                <w:color w:val="000000"/>
                <w:szCs w:val="21"/>
              </w:rPr>
              <w:t>序号</w:t>
            </w:r>
          </w:p>
        </w:tc>
        <w:tc>
          <w:tcPr>
            <w:tcW w:w="1575" w:type="dxa"/>
            <w:vAlign w:val="center"/>
          </w:tcPr>
          <w:p>
            <w:pPr>
              <w:jc w:val="center"/>
              <w:rPr>
                <w:rFonts w:hint="eastAsia" w:ascii="宋体" w:hAnsi="宋体"/>
                <w:color w:val="000000"/>
                <w:szCs w:val="21"/>
              </w:rPr>
            </w:pPr>
            <w:r>
              <w:rPr>
                <w:rFonts w:hint="eastAsia" w:ascii="宋体" w:hAnsi="宋体"/>
                <w:color w:val="000000"/>
                <w:szCs w:val="21"/>
              </w:rPr>
              <w:t>物质名称</w:t>
            </w:r>
          </w:p>
        </w:tc>
        <w:tc>
          <w:tcPr>
            <w:tcW w:w="1898" w:type="dxa"/>
            <w:gridSpan w:val="2"/>
            <w:vAlign w:val="center"/>
          </w:tcPr>
          <w:p>
            <w:pPr>
              <w:jc w:val="center"/>
              <w:rPr>
                <w:rFonts w:hint="eastAsia" w:ascii="宋体" w:hAnsi="宋体"/>
                <w:color w:val="000000"/>
                <w:szCs w:val="21"/>
              </w:rPr>
            </w:pPr>
            <w:r>
              <w:rPr>
                <w:rFonts w:hint="eastAsia" w:ascii="宋体" w:hAnsi="宋体"/>
                <w:color w:val="000000"/>
                <w:szCs w:val="21"/>
              </w:rPr>
              <w:t>危险性</w:t>
            </w:r>
          </w:p>
        </w:tc>
        <w:tc>
          <w:tcPr>
            <w:tcW w:w="3570" w:type="dxa"/>
            <w:vAlign w:val="center"/>
          </w:tcPr>
          <w:p>
            <w:pPr>
              <w:jc w:val="center"/>
              <w:rPr>
                <w:rFonts w:hint="eastAsia" w:ascii="宋体" w:hAnsi="宋体"/>
                <w:color w:val="000000"/>
                <w:szCs w:val="21"/>
              </w:rPr>
            </w:pPr>
            <w:r>
              <w:rPr>
                <w:rFonts w:hint="eastAsia" w:ascii="宋体" w:hAnsi="宋体"/>
                <w:color w:val="000000"/>
                <w:szCs w:val="21"/>
              </w:rPr>
              <w:t>危害性</w:t>
            </w:r>
          </w:p>
        </w:tc>
        <w:tc>
          <w:tcPr>
            <w:tcW w:w="1085" w:type="dxa"/>
            <w:vAlign w:val="center"/>
          </w:tcPr>
          <w:p>
            <w:pPr>
              <w:jc w:val="center"/>
              <w:rPr>
                <w:rFonts w:hint="eastAsia" w:ascii="宋体" w:hAnsi="宋体"/>
                <w:color w:val="000000"/>
                <w:szCs w:val="21"/>
              </w:rPr>
            </w:pPr>
            <w:r>
              <w:rPr>
                <w:rFonts w:hint="eastAsia" w:ascii="宋体" w:hAnsi="宋体"/>
                <w:color w:val="000000"/>
                <w:szCs w:val="21"/>
              </w:rPr>
              <w:t>工作场所最高浓度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Align w:val="center"/>
          </w:tcPr>
          <w:p>
            <w:pPr>
              <w:jc w:val="center"/>
              <w:rPr>
                <w:rFonts w:hint="eastAsia" w:ascii="宋体" w:hAnsi="宋体"/>
                <w:color w:val="000000"/>
                <w:szCs w:val="21"/>
              </w:rPr>
            </w:pPr>
            <w:r>
              <w:rPr>
                <w:rFonts w:hint="eastAsia" w:ascii="宋体" w:hAnsi="宋体"/>
                <w:color w:val="000000"/>
                <w:szCs w:val="21"/>
              </w:rPr>
              <w:t>1</w:t>
            </w:r>
          </w:p>
        </w:tc>
        <w:tc>
          <w:tcPr>
            <w:tcW w:w="1575" w:type="dxa"/>
            <w:vAlign w:val="center"/>
          </w:tcPr>
          <w:p>
            <w:pPr>
              <w:jc w:val="center"/>
              <w:rPr>
                <w:rFonts w:hint="eastAsia" w:ascii="宋体" w:hAnsi="宋体"/>
                <w:color w:val="000000"/>
                <w:szCs w:val="21"/>
              </w:rPr>
            </w:pPr>
            <w:r>
              <w:rPr>
                <w:rFonts w:hint="eastAsia" w:ascii="宋体" w:hAnsi="宋体"/>
                <w:color w:val="000000"/>
                <w:szCs w:val="21"/>
              </w:rPr>
              <w:t>硫酸</w:t>
            </w:r>
          </w:p>
        </w:tc>
        <w:tc>
          <w:tcPr>
            <w:tcW w:w="1898" w:type="dxa"/>
            <w:gridSpan w:val="2"/>
            <w:vAlign w:val="top"/>
          </w:tcPr>
          <w:p>
            <w:pPr>
              <w:rPr>
                <w:rFonts w:hint="eastAsia" w:ascii="宋体" w:hAnsi="宋体"/>
                <w:color w:val="000000"/>
                <w:szCs w:val="21"/>
              </w:rPr>
            </w:pPr>
            <w:r>
              <w:rPr>
                <w:rFonts w:hint="eastAsia" w:ascii="宋体" w:hAnsi="宋体"/>
                <w:color w:val="000000"/>
                <w:szCs w:val="21"/>
              </w:rPr>
              <w:t>一级无机酸性腐蚀物品，遇到水大量放热，遇H发孔剂立即燃烧，与氰化物会产生剧毒气体，遇有机物能引起炭化，甚至燃烧，在空气中含量达4.75%时具有爆炸性。</w:t>
            </w:r>
          </w:p>
        </w:tc>
        <w:tc>
          <w:tcPr>
            <w:tcW w:w="3570" w:type="dxa"/>
            <w:vAlign w:val="top"/>
          </w:tcPr>
          <w:p>
            <w:pPr>
              <w:rPr>
                <w:rFonts w:hint="eastAsia" w:ascii="宋体" w:hAnsi="宋体"/>
                <w:color w:val="000000"/>
                <w:szCs w:val="21"/>
              </w:rPr>
            </w:pPr>
            <w:r>
              <w:rPr>
                <w:rFonts w:hint="eastAsia" w:ascii="宋体" w:hAnsi="宋体"/>
                <w:color w:val="000000"/>
                <w:szCs w:val="21"/>
              </w:rPr>
              <w:t>属中等毒性，吸入高浓度酸雾会引起上呼吸道刺激症状、支气管炎、肺水肿，溅入皮肤立即烧伤，溅入眼睛引起结膜炎、角膜混浊，严重可失明。口服后会引起消化道的烧伤甚至溃疡，严重者可能胃穿孔、胃膜炎、侯痉挛和声门水肿、肾损害、休克等。长期接触硫酸雾可有鼻粘膜萎缩，伴有嗅觉减退和消失、慢性支气管炎和牙齿酸蚀症等。LD</w:t>
            </w:r>
            <w:r>
              <w:rPr>
                <w:rFonts w:hint="eastAsia" w:ascii="宋体" w:hAnsi="宋体"/>
                <w:color w:val="000000"/>
                <w:szCs w:val="21"/>
                <w:vertAlign w:val="subscript"/>
              </w:rPr>
              <w:t xml:space="preserve">50 </w:t>
            </w:r>
            <w:r>
              <w:rPr>
                <w:rFonts w:hint="eastAsia" w:ascii="宋体" w:hAnsi="宋体"/>
                <w:color w:val="000000"/>
                <w:szCs w:val="21"/>
              </w:rPr>
              <w:t>80mg/kg(大鼠经口)；LC</w:t>
            </w:r>
            <w:r>
              <w:rPr>
                <w:rFonts w:hint="eastAsia" w:ascii="宋体" w:hAnsi="宋体"/>
                <w:color w:val="000000"/>
                <w:szCs w:val="21"/>
                <w:vertAlign w:val="subscript"/>
              </w:rPr>
              <w:t xml:space="preserve">50 </w:t>
            </w:r>
            <w:r>
              <w:rPr>
                <w:rFonts w:hint="eastAsia" w:ascii="宋体" w:hAnsi="宋体"/>
                <w:color w:val="000000"/>
                <w:szCs w:val="21"/>
              </w:rPr>
              <w:t>510mg/m</w:t>
            </w:r>
            <w:r>
              <w:rPr>
                <w:rFonts w:hint="eastAsia" w:ascii="宋体" w:hAnsi="宋体"/>
                <w:color w:val="000000"/>
                <w:szCs w:val="21"/>
                <w:vertAlign w:val="superscript"/>
              </w:rPr>
              <w:t>3</w:t>
            </w:r>
            <w:r>
              <w:rPr>
                <w:rFonts w:hint="eastAsia" w:ascii="宋体" w:hAnsi="宋体"/>
                <w:color w:val="000000"/>
                <w:szCs w:val="21"/>
              </w:rPr>
              <w:t>，2小时（大鼠经口）；320mg/m</w:t>
            </w:r>
            <w:r>
              <w:rPr>
                <w:rFonts w:hint="eastAsia" w:ascii="宋体" w:hAnsi="宋体"/>
                <w:color w:val="000000"/>
                <w:szCs w:val="21"/>
                <w:vertAlign w:val="superscript"/>
              </w:rPr>
              <w:t>3</w:t>
            </w:r>
            <w:r>
              <w:rPr>
                <w:rFonts w:hint="eastAsia" w:ascii="宋体" w:hAnsi="宋体"/>
                <w:color w:val="000000"/>
                <w:szCs w:val="21"/>
              </w:rPr>
              <w:t>，2小时（小鼠吸入）</w:t>
            </w:r>
          </w:p>
        </w:tc>
        <w:tc>
          <w:tcPr>
            <w:tcW w:w="1085" w:type="dxa"/>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Align w:val="center"/>
          </w:tcPr>
          <w:p>
            <w:pPr>
              <w:jc w:val="center"/>
              <w:rPr>
                <w:rFonts w:hint="eastAsia" w:ascii="宋体" w:hAnsi="宋体"/>
                <w:color w:val="000000"/>
                <w:szCs w:val="21"/>
              </w:rPr>
            </w:pPr>
            <w:r>
              <w:rPr>
                <w:rFonts w:hint="eastAsia" w:ascii="宋体" w:hAnsi="宋体"/>
                <w:color w:val="000000"/>
                <w:szCs w:val="21"/>
              </w:rPr>
              <w:t>2</w:t>
            </w:r>
          </w:p>
        </w:tc>
        <w:tc>
          <w:tcPr>
            <w:tcW w:w="1575" w:type="dxa"/>
            <w:vAlign w:val="center"/>
          </w:tcPr>
          <w:p>
            <w:pPr>
              <w:jc w:val="center"/>
              <w:rPr>
                <w:rFonts w:hint="eastAsia" w:ascii="宋体" w:hAnsi="宋体"/>
                <w:color w:val="000000"/>
                <w:szCs w:val="21"/>
              </w:rPr>
            </w:pPr>
            <w:r>
              <w:rPr>
                <w:rFonts w:hint="eastAsia" w:ascii="宋体" w:hAnsi="宋体"/>
                <w:color w:val="000000"/>
                <w:szCs w:val="21"/>
              </w:rPr>
              <w:t>硫化</w:t>
            </w:r>
            <w:r>
              <w:rPr>
                <w:rFonts w:hint="eastAsia" w:ascii="宋体" w:hAnsi="宋体"/>
                <w:color w:val="000000"/>
                <w:szCs w:val="21"/>
                <w:lang w:eastAsia="zh-CN"/>
              </w:rPr>
              <w:t>钠</w:t>
            </w:r>
          </w:p>
        </w:tc>
        <w:tc>
          <w:tcPr>
            <w:tcW w:w="1898" w:type="dxa"/>
            <w:gridSpan w:val="2"/>
            <w:vAlign w:val="top"/>
          </w:tcPr>
          <w:p>
            <w:pPr>
              <w:rPr>
                <w:rFonts w:hint="eastAsia" w:ascii="宋体" w:hAnsi="宋体"/>
                <w:color w:val="000000"/>
                <w:szCs w:val="21"/>
              </w:rPr>
            </w:pPr>
            <w:r>
              <w:rPr>
                <w:rFonts w:hint="eastAsia" w:ascii="宋体" w:hAnsi="宋体"/>
                <w:color w:val="000000"/>
                <w:szCs w:val="21"/>
              </w:rPr>
              <w:t>受撞击或急速受热引起爆炸，无水硫化钠有可燃性，遇酸产生有毒、易燃的硫化氢气体</w:t>
            </w:r>
          </w:p>
        </w:tc>
        <w:tc>
          <w:tcPr>
            <w:tcW w:w="3570" w:type="dxa"/>
            <w:vAlign w:val="top"/>
          </w:tcPr>
          <w:p>
            <w:pPr>
              <w:rPr>
                <w:rFonts w:hint="eastAsia" w:ascii="宋体" w:hAnsi="宋体"/>
                <w:color w:val="000000"/>
                <w:szCs w:val="21"/>
              </w:rPr>
            </w:pPr>
            <w:r>
              <w:rPr>
                <w:rFonts w:hint="eastAsia" w:ascii="宋体" w:hAnsi="宋体"/>
                <w:color w:val="000000"/>
                <w:szCs w:val="21"/>
              </w:rPr>
              <w:t>本品在胃肠道中能分解出硫化氢，口服后能引起硫化氢中毒，对皮肤和眼睛有腐蚀作用，LD</w:t>
            </w:r>
            <w:r>
              <w:rPr>
                <w:rFonts w:hint="eastAsia" w:ascii="宋体" w:hAnsi="宋体"/>
                <w:color w:val="000000"/>
                <w:szCs w:val="21"/>
                <w:vertAlign w:val="subscript"/>
              </w:rPr>
              <w:t xml:space="preserve">50 </w:t>
            </w:r>
            <w:r>
              <w:rPr>
                <w:rFonts w:hint="eastAsia" w:ascii="宋体" w:hAnsi="宋体"/>
                <w:color w:val="000000"/>
                <w:szCs w:val="21"/>
              </w:rPr>
              <w:t>820mg/kg(小鼠经口)；LC</w:t>
            </w:r>
            <w:r>
              <w:rPr>
                <w:rFonts w:hint="eastAsia" w:ascii="宋体" w:hAnsi="宋体"/>
                <w:color w:val="000000"/>
                <w:szCs w:val="21"/>
                <w:vertAlign w:val="subscript"/>
              </w:rPr>
              <w:t xml:space="preserve">50 </w:t>
            </w:r>
            <w:r>
              <w:rPr>
                <w:rFonts w:hint="eastAsia" w:ascii="宋体" w:hAnsi="宋体"/>
                <w:color w:val="000000"/>
                <w:szCs w:val="21"/>
              </w:rPr>
              <w:t>950mg/m</w:t>
            </w:r>
            <w:r>
              <w:rPr>
                <w:rFonts w:hint="eastAsia" w:ascii="宋体" w:hAnsi="宋体"/>
                <w:color w:val="000000"/>
                <w:szCs w:val="21"/>
                <w:vertAlign w:val="superscript"/>
              </w:rPr>
              <w:t>3</w:t>
            </w:r>
            <w:r>
              <w:rPr>
                <w:rFonts w:hint="eastAsia" w:ascii="宋体" w:hAnsi="宋体"/>
                <w:color w:val="000000"/>
                <w:szCs w:val="21"/>
              </w:rPr>
              <w:t>，（小鼠静注）</w:t>
            </w:r>
          </w:p>
        </w:tc>
        <w:tc>
          <w:tcPr>
            <w:tcW w:w="1085" w:type="dxa"/>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Align w:val="center"/>
          </w:tcPr>
          <w:p>
            <w:pPr>
              <w:jc w:val="center"/>
              <w:rPr>
                <w:rFonts w:hint="eastAsia" w:ascii="宋体" w:hAnsi="宋体"/>
                <w:color w:val="000000"/>
                <w:szCs w:val="21"/>
              </w:rPr>
            </w:pPr>
            <w:r>
              <w:rPr>
                <w:rFonts w:hint="eastAsia" w:ascii="宋体" w:hAnsi="宋体"/>
                <w:color w:val="000000"/>
                <w:szCs w:val="21"/>
              </w:rPr>
              <w:t>3</w:t>
            </w:r>
          </w:p>
        </w:tc>
        <w:tc>
          <w:tcPr>
            <w:tcW w:w="1575" w:type="dxa"/>
            <w:vAlign w:val="center"/>
          </w:tcPr>
          <w:p>
            <w:pPr>
              <w:jc w:val="center"/>
              <w:rPr>
                <w:rFonts w:hint="eastAsia" w:ascii="宋体" w:hAnsi="宋体"/>
                <w:color w:val="000000"/>
                <w:szCs w:val="21"/>
              </w:rPr>
            </w:pPr>
            <w:r>
              <w:rPr>
                <w:rFonts w:hint="eastAsia" w:ascii="宋体" w:hAnsi="宋体"/>
                <w:color w:val="000000"/>
                <w:szCs w:val="21"/>
              </w:rPr>
              <w:t>硫化钡</w:t>
            </w:r>
          </w:p>
        </w:tc>
        <w:tc>
          <w:tcPr>
            <w:tcW w:w="1898" w:type="dxa"/>
            <w:gridSpan w:val="2"/>
            <w:vAlign w:val="top"/>
          </w:tcPr>
          <w:p>
            <w:pPr>
              <w:rPr>
                <w:rFonts w:hint="eastAsia" w:ascii="宋体" w:hAnsi="宋体"/>
                <w:color w:val="000000"/>
                <w:szCs w:val="21"/>
              </w:rPr>
            </w:pPr>
            <w:r>
              <w:rPr>
                <w:rFonts w:hint="eastAsia" w:ascii="宋体" w:hAnsi="宋体"/>
                <w:color w:val="000000"/>
                <w:szCs w:val="21"/>
              </w:rPr>
              <w:t>在潮湿空气中或酸雾中能发生强烈化学反应，可能引起燃烧，具有腐蚀性</w:t>
            </w:r>
          </w:p>
        </w:tc>
        <w:tc>
          <w:tcPr>
            <w:tcW w:w="3570" w:type="dxa"/>
            <w:vAlign w:val="top"/>
          </w:tcPr>
          <w:p>
            <w:pPr>
              <w:rPr>
                <w:rFonts w:hint="eastAsia" w:ascii="宋体" w:hAnsi="宋体"/>
                <w:color w:val="000000"/>
                <w:szCs w:val="21"/>
              </w:rPr>
            </w:pPr>
            <w:r>
              <w:rPr>
                <w:rFonts w:hint="eastAsia" w:ascii="宋体" w:hAnsi="宋体"/>
                <w:color w:val="000000"/>
                <w:szCs w:val="21"/>
              </w:rPr>
              <w:t>急性中毒：主要有误服引起，中毒表现有恶心、呕吐、腹痛、腹泻、脉缓、进行性肌麻痹、心率紊乱、血钾明显降低等，可因心率紊乱和呼吸麻痹而死亡。肾脏可受损害。吸入粉尘可引起中毒，但消化道症状不明显。</w:t>
            </w:r>
          </w:p>
          <w:p>
            <w:pPr>
              <w:rPr>
                <w:rFonts w:hint="eastAsia" w:ascii="宋体" w:hAnsi="宋体"/>
                <w:color w:val="000000"/>
                <w:szCs w:val="21"/>
              </w:rPr>
            </w:pPr>
            <w:r>
              <w:rPr>
                <w:rFonts w:hint="eastAsia" w:ascii="宋体" w:hAnsi="宋体"/>
                <w:color w:val="000000"/>
                <w:szCs w:val="21"/>
              </w:rPr>
              <w:t>慢性影响：长期接触钡化合物的工人，有无力、气促、流、口腔黏膜肿胀糜烂、鼻炎、结膜炎、腹泻、心动过速、血压增高、脱发等。</w:t>
            </w:r>
          </w:p>
        </w:tc>
        <w:tc>
          <w:tcPr>
            <w:tcW w:w="1085" w:type="dxa"/>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Align w:val="center"/>
          </w:tcPr>
          <w:p>
            <w:pPr>
              <w:jc w:val="center"/>
              <w:rPr>
                <w:rFonts w:hint="eastAsia" w:ascii="宋体" w:hAnsi="宋体"/>
                <w:color w:val="000000"/>
                <w:szCs w:val="21"/>
              </w:rPr>
            </w:pPr>
            <w:r>
              <w:rPr>
                <w:rFonts w:hint="eastAsia" w:ascii="宋体" w:hAnsi="宋体"/>
                <w:color w:val="000000"/>
                <w:szCs w:val="21"/>
              </w:rPr>
              <w:t>4</w:t>
            </w:r>
          </w:p>
        </w:tc>
        <w:tc>
          <w:tcPr>
            <w:tcW w:w="1575" w:type="dxa"/>
            <w:vAlign w:val="center"/>
          </w:tcPr>
          <w:p>
            <w:pPr>
              <w:jc w:val="center"/>
              <w:rPr>
                <w:rFonts w:hint="eastAsia" w:ascii="宋体" w:hAnsi="宋体"/>
                <w:color w:val="000000"/>
                <w:szCs w:val="21"/>
              </w:rPr>
            </w:pPr>
            <w:r>
              <w:rPr>
                <w:rFonts w:hint="eastAsia" w:ascii="宋体" w:hAnsi="宋体"/>
                <w:color w:val="000000"/>
                <w:szCs w:val="21"/>
              </w:rPr>
              <w:t>硫化氢</w:t>
            </w:r>
          </w:p>
        </w:tc>
        <w:tc>
          <w:tcPr>
            <w:tcW w:w="1890" w:type="dxa"/>
            <w:vAlign w:val="center"/>
          </w:tcPr>
          <w:p>
            <w:pPr>
              <w:jc w:val="center"/>
              <w:rPr>
                <w:rFonts w:hint="eastAsia" w:ascii="宋体" w:hAnsi="宋体"/>
                <w:color w:val="000000"/>
                <w:szCs w:val="21"/>
              </w:rPr>
            </w:pPr>
            <w:r>
              <w:rPr>
                <w:rFonts w:hint="eastAsia" w:ascii="宋体" w:hAnsi="宋体" w:eastAsia="宋体" w:cs="黑体"/>
                <w:color w:val="000000"/>
                <w:kern w:val="2"/>
                <w:sz w:val="21"/>
                <w:szCs w:val="21"/>
                <w:lang w:val="en-US" w:eastAsia="zh-CN" w:bidi="ar-SA"/>
              </w:rPr>
              <w:t>遇到火星能引起燃烧，爆炸可燃上限为45.5%，，下限为4.3%</w:t>
            </w:r>
            <w:r>
              <w:rPr>
                <w:rFonts w:hint="eastAsia" w:ascii="宋体" w:hAnsi="宋体"/>
                <w:color w:val="000000"/>
                <w:szCs w:val="21"/>
              </w:rPr>
              <w:t>。</w:t>
            </w:r>
          </w:p>
        </w:tc>
        <w:tc>
          <w:tcPr>
            <w:tcW w:w="3578" w:type="dxa"/>
            <w:gridSpan w:val="2"/>
            <w:vAlign w:val="center"/>
          </w:tcPr>
          <w:p>
            <w:pPr>
              <w:jc w:val="center"/>
              <w:rPr>
                <w:rFonts w:hint="eastAsia" w:ascii="宋体" w:hAnsi="宋体"/>
                <w:color w:val="000000"/>
                <w:szCs w:val="21"/>
              </w:rPr>
            </w:pPr>
            <w:r>
              <w:rPr>
                <w:rFonts w:hint="eastAsia" w:ascii="宋体" w:hAnsi="宋体"/>
                <w:color w:val="000000"/>
                <w:szCs w:val="21"/>
              </w:rPr>
              <w:t>本品是强烈的神经性毒物，对黏膜有强烈刺激作用，人吸入LCL0：600ppm/30m, 800ppm/5m；</w:t>
            </w:r>
          </w:p>
          <w:p>
            <w:pPr>
              <w:jc w:val="center"/>
              <w:rPr>
                <w:rFonts w:hint="eastAsia" w:ascii="宋体" w:hAnsi="宋体"/>
                <w:color w:val="000000"/>
                <w:szCs w:val="21"/>
              </w:rPr>
            </w:pPr>
            <w:r>
              <w:rPr>
                <w:rFonts w:hint="eastAsia" w:ascii="宋体" w:hAnsi="宋体"/>
                <w:color w:val="000000"/>
                <w:szCs w:val="21"/>
              </w:rPr>
              <w:t>大鼠吸入：LC</w:t>
            </w:r>
            <w:r>
              <w:rPr>
                <w:rFonts w:hint="eastAsia" w:ascii="宋体" w:hAnsi="宋体"/>
                <w:color w:val="000000"/>
                <w:szCs w:val="21"/>
                <w:vertAlign w:val="subscript"/>
              </w:rPr>
              <w:t>50</w:t>
            </w:r>
            <w:r>
              <w:rPr>
                <w:rFonts w:hint="eastAsia" w:ascii="宋体" w:hAnsi="宋体"/>
                <w:color w:val="000000"/>
                <w:szCs w:val="21"/>
              </w:rPr>
              <w:t>444 ppm0.68mg/L</w:t>
            </w:r>
            <w:r>
              <w:rPr>
                <w:rFonts w:ascii="宋体" w:hAnsi="宋体"/>
                <w:color w:val="000000"/>
                <w:szCs w:val="21"/>
              </w:rPr>
              <w:t>）</w:t>
            </w:r>
            <w:r>
              <w:rPr>
                <w:rFonts w:hint="eastAsia" w:ascii="宋体" w:hAnsi="宋体"/>
                <w:color w:val="000000"/>
                <w:szCs w:val="21"/>
              </w:rPr>
              <w:t>，小鼠吸入：LC</w:t>
            </w:r>
            <w:r>
              <w:rPr>
                <w:rFonts w:hint="eastAsia" w:ascii="宋体" w:hAnsi="宋体"/>
                <w:color w:val="000000"/>
                <w:szCs w:val="21"/>
                <w:vertAlign w:val="subscript"/>
              </w:rPr>
              <w:t>50</w:t>
            </w:r>
            <w:r>
              <w:rPr>
                <w:rFonts w:hint="eastAsia" w:ascii="宋体" w:hAnsi="宋体"/>
                <w:color w:val="000000"/>
                <w:szCs w:val="21"/>
              </w:rPr>
              <w:t>634 ppm （0.96mg/L</w:t>
            </w:r>
            <w:r>
              <w:rPr>
                <w:rFonts w:ascii="宋体" w:hAnsi="宋体"/>
                <w:color w:val="000000"/>
                <w:szCs w:val="21"/>
              </w:rPr>
              <w:t>）</w:t>
            </w:r>
            <w:r>
              <w:rPr>
                <w:rFonts w:hint="eastAsia" w:ascii="宋体" w:hAnsi="宋体"/>
                <w:color w:val="000000"/>
                <w:szCs w:val="21"/>
              </w:rPr>
              <w:t>，</w:t>
            </w:r>
          </w:p>
        </w:tc>
        <w:tc>
          <w:tcPr>
            <w:tcW w:w="1085" w:type="dxa"/>
            <w:vAlign w:val="center"/>
          </w:tcPr>
          <w:p>
            <w:pPr>
              <w:jc w:val="center"/>
              <w:rPr>
                <w:rFonts w:hint="eastAsia" w:ascii="宋体" w:hAnsi="宋体"/>
                <w:color w:val="000000"/>
                <w:szCs w:val="21"/>
              </w:rPr>
            </w:pPr>
            <w:r>
              <w:rPr>
                <w:rFonts w:hint="eastAsia" w:ascii="宋体" w:hAnsi="宋体"/>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9" w:hRule="atLeast"/>
          <w:jc w:val="center"/>
        </w:trPr>
        <w:tc>
          <w:tcPr>
            <w:tcW w:w="641" w:type="dxa"/>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5</w:t>
            </w:r>
          </w:p>
        </w:tc>
        <w:tc>
          <w:tcPr>
            <w:tcW w:w="1575" w:type="dxa"/>
            <w:vAlign w:val="center"/>
          </w:tcPr>
          <w:p>
            <w:pPr>
              <w:jc w:val="center"/>
              <w:rPr>
                <w:rFonts w:hint="eastAsia" w:ascii="宋体" w:hAnsi="宋体" w:eastAsia="宋体"/>
                <w:color w:val="000000"/>
                <w:szCs w:val="21"/>
                <w:lang w:eastAsia="zh-CN"/>
              </w:rPr>
            </w:pPr>
            <w:r>
              <w:rPr>
                <w:rFonts w:hint="eastAsia" w:ascii="宋体" w:hAnsi="宋体"/>
                <w:color w:val="000000"/>
                <w:szCs w:val="21"/>
                <w:lang w:eastAsia="zh-CN"/>
              </w:rPr>
              <w:t>二氧化硫</w:t>
            </w:r>
          </w:p>
        </w:tc>
        <w:tc>
          <w:tcPr>
            <w:tcW w:w="1890" w:type="dxa"/>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0" w:lineRule="atLeast"/>
              <w:ind w:left="0" w:leftChars="0" w:right="0" w:rightChars="0" w:firstLine="420" w:firstLineChars="0"/>
              <w:jc w:val="left"/>
              <w:textAlignment w:val="auto"/>
              <w:outlineLvl w:val="9"/>
              <w:rPr>
                <w:rFonts w:hint="default" w:ascii="宋体" w:hAnsi="宋体" w:eastAsia="宋体" w:cs="黑体"/>
                <w:color w:val="000000"/>
                <w:kern w:val="2"/>
                <w:sz w:val="21"/>
                <w:szCs w:val="21"/>
                <w:lang w:val="en-US" w:eastAsia="zh-CN" w:bidi="ar-SA"/>
              </w:rPr>
            </w:pPr>
            <w:r>
              <w:rPr>
                <w:rFonts w:hint="default" w:ascii="宋体" w:hAnsi="宋体" w:eastAsia="宋体" w:cs="黑体"/>
                <w:color w:val="000000"/>
                <w:kern w:val="2"/>
                <w:sz w:val="21"/>
                <w:szCs w:val="21"/>
                <w:lang w:val="en-US" w:eastAsia="zh-CN" w:bidi="ar-SA"/>
              </w:rPr>
              <w:t>不燃，有毒，具强刺激性。</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0" w:lineRule="atLeast"/>
              <w:ind w:left="0" w:leftChars="0" w:right="0" w:rightChars="0" w:firstLine="420" w:firstLineChars="0"/>
              <w:jc w:val="left"/>
              <w:textAlignment w:val="auto"/>
              <w:outlineLvl w:val="9"/>
              <w:rPr>
                <w:rFonts w:hint="eastAsia" w:ascii="宋体" w:hAnsi="宋体" w:eastAsia="宋体" w:cs="黑体"/>
                <w:color w:val="000000"/>
                <w:kern w:val="2"/>
                <w:sz w:val="21"/>
                <w:szCs w:val="21"/>
                <w:lang w:val="en-US" w:eastAsia="zh-CN" w:bidi="ar-SA"/>
              </w:rPr>
            </w:pPr>
          </w:p>
        </w:tc>
        <w:tc>
          <w:tcPr>
            <w:tcW w:w="3578" w:type="dxa"/>
            <w:gridSpan w:val="2"/>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25" w:afterAutospacing="0" w:line="0" w:lineRule="atLeast"/>
              <w:ind w:left="0" w:leftChars="0" w:right="0" w:rightChars="0" w:firstLine="420" w:firstLineChars="0"/>
              <w:jc w:val="left"/>
              <w:textAlignment w:val="auto"/>
              <w:outlineLvl w:val="9"/>
              <w:rPr>
                <w:rFonts w:hint="eastAsia" w:ascii="宋体" w:hAnsi="宋体"/>
                <w:color w:val="000000"/>
                <w:szCs w:val="21"/>
              </w:rPr>
            </w:pPr>
            <w:r>
              <w:rPr>
                <w:rFonts w:hint="default" w:ascii="宋体" w:hAnsi="宋体" w:eastAsia="宋体" w:cs="黑体"/>
                <w:color w:val="000000"/>
                <w:kern w:val="2"/>
                <w:sz w:val="21"/>
                <w:szCs w:val="21"/>
                <w:lang w:val="en-US" w:eastAsia="zh-CN" w:bidi="ar-SA"/>
              </w:rPr>
              <w:t>健康危害： 易被湿润的粘膜表面吸收生成</w:t>
            </w:r>
            <w:r>
              <w:rPr>
                <w:rFonts w:hint="default" w:ascii="宋体" w:hAnsi="宋体" w:eastAsia="宋体" w:cs="黑体"/>
                <w:color w:val="000000"/>
                <w:kern w:val="2"/>
                <w:sz w:val="21"/>
                <w:szCs w:val="21"/>
                <w:lang w:val="en-US" w:eastAsia="zh-CN" w:bidi="ar-SA"/>
              </w:rPr>
              <w:fldChar w:fldCharType="begin"/>
            </w:r>
            <w:r>
              <w:rPr>
                <w:rFonts w:hint="default" w:ascii="宋体" w:hAnsi="宋体" w:eastAsia="宋体" w:cs="黑体"/>
                <w:color w:val="000000"/>
                <w:kern w:val="2"/>
                <w:sz w:val="21"/>
                <w:szCs w:val="21"/>
                <w:lang w:val="en-US" w:eastAsia="zh-CN" w:bidi="ar-SA"/>
              </w:rPr>
              <w:instrText xml:space="preserve"> HYPERLINK "http://baike.sogou.com/lemma/ShowInnerLink.htm?lemmaId=652548&amp;ss_c=ssc.citiao.link" \t "http://baike.sogou.com/_blank" </w:instrText>
            </w:r>
            <w:r>
              <w:rPr>
                <w:rFonts w:hint="default" w:ascii="宋体" w:hAnsi="宋体" w:eastAsia="宋体" w:cs="黑体"/>
                <w:color w:val="000000"/>
                <w:kern w:val="2"/>
                <w:sz w:val="21"/>
                <w:szCs w:val="21"/>
                <w:lang w:val="en-US" w:eastAsia="zh-CN" w:bidi="ar-SA"/>
              </w:rPr>
              <w:fldChar w:fldCharType="separate"/>
            </w:r>
            <w:r>
              <w:rPr>
                <w:rFonts w:hint="default" w:ascii="宋体" w:hAnsi="宋体" w:eastAsia="宋体" w:cs="黑体"/>
                <w:color w:val="000000"/>
                <w:kern w:val="2"/>
                <w:sz w:val="21"/>
                <w:szCs w:val="21"/>
                <w:lang w:val="en-US" w:eastAsia="zh-CN" w:bidi="ar-SA"/>
              </w:rPr>
              <w:t>亚硫酸</w:t>
            </w:r>
            <w:r>
              <w:rPr>
                <w:rFonts w:hint="default" w:ascii="宋体" w:hAnsi="宋体" w:eastAsia="宋体" w:cs="黑体"/>
                <w:color w:val="000000"/>
                <w:kern w:val="2"/>
                <w:sz w:val="21"/>
                <w:szCs w:val="21"/>
                <w:lang w:val="en-US" w:eastAsia="zh-CN" w:bidi="ar-SA"/>
              </w:rPr>
              <w:fldChar w:fldCharType="end"/>
            </w:r>
            <w:r>
              <w:rPr>
                <w:rFonts w:hint="default" w:ascii="宋体" w:hAnsi="宋体" w:eastAsia="宋体" w:cs="黑体"/>
                <w:color w:val="000000"/>
                <w:kern w:val="2"/>
                <w:sz w:val="21"/>
                <w:szCs w:val="21"/>
                <w:lang w:val="en-US" w:eastAsia="zh-CN" w:bidi="ar-SA"/>
              </w:rPr>
              <w:t>、硫酸。对眼及呼吸道粘膜有强烈的刺激作用。大量吸入可引起</w:t>
            </w:r>
            <w:r>
              <w:rPr>
                <w:rFonts w:hint="default" w:ascii="宋体" w:hAnsi="宋体" w:eastAsia="宋体" w:cs="黑体"/>
                <w:color w:val="000000"/>
                <w:kern w:val="2"/>
                <w:sz w:val="21"/>
                <w:szCs w:val="21"/>
                <w:lang w:val="en-US" w:eastAsia="zh-CN" w:bidi="ar-SA"/>
              </w:rPr>
              <w:fldChar w:fldCharType="begin"/>
            </w:r>
            <w:r>
              <w:rPr>
                <w:rFonts w:hint="default" w:ascii="宋体" w:hAnsi="宋体" w:eastAsia="宋体" w:cs="黑体"/>
                <w:color w:val="000000"/>
                <w:kern w:val="2"/>
                <w:sz w:val="21"/>
                <w:szCs w:val="21"/>
                <w:lang w:val="en-US" w:eastAsia="zh-CN" w:bidi="ar-SA"/>
              </w:rPr>
              <w:instrText xml:space="preserve"> HYPERLINK "http://baike.sogou.com/lemma/ShowInnerLink.htm?lemmaId=206597" \t "http://baike.sogou.com/_blank" </w:instrText>
            </w:r>
            <w:r>
              <w:rPr>
                <w:rFonts w:hint="default" w:ascii="宋体" w:hAnsi="宋体" w:eastAsia="宋体" w:cs="黑体"/>
                <w:color w:val="000000"/>
                <w:kern w:val="2"/>
                <w:sz w:val="21"/>
                <w:szCs w:val="21"/>
                <w:lang w:val="en-US" w:eastAsia="zh-CN" w:bidi="ar-SA"/>
              </w:rPr>
              <w:fldChar w:fldCharType="separate"/>
            </w:r>
            <w:r>
              <w:rPr>
                <w:rFonts w:hint="default" w:ascii="宋体" w:hAnsi="宋体" w:eastAsia="宋体" w:cs="黑体"/>
                <w:color w:val="000000"/>
                <w:kern w:val="2"/>
                <w:sz w:val="21"/>
                <w:szCs w:val="21"/>
                <w:lang w:val="en-US" w:eastAsia="zh-CN" w:bidi="ar-SA"/>
              </w:rPr>
              <w:t>肺水肿</w:t>
            </w:r>
            <w:r>
              <w:rPr>
                <w:rFonts w:hint="default" w:ascii="宋体" w:hAnsi="宋体" w:eastAsia="宋体" w:cs="黑体"/>
                <w:color w:val="000000"/>
                <w:kern w:val="2"/>
                <w:sz w:val="21"/>
                <w:szCs w:val="21"/>
                <w:lang w:val="en-US" w:eastAsia="zh-CN" w:bidi="ar-SA"/>
              </w:rPr>
              <w:fldChar w:fldCharType="end"/>
            </w:r>
            <w:r>
              <w:rPr>
                <w:rFonts w:hint="default" w:ascii="宋体" w:hAnsi="宋体" w:eastAsia="宋体" w:cs="黑体"/>
                <w:color w:val="000000"/>
                <w:kern w:val="2"/>
                <w:sz w:val="21"/>
                <w:szCs w:val="21"/>
                <w:lang w:val="en-US" w:eastAsia="zh-CN" w:bidi="ar-SA"/>
              </w:rPr>
              <w:t>、</w:t>
            </w:r>
            <w:r>
              <w:rPr>
                <w:rFonts w:hint="default" w:ascii="宋体" w:hAnsi="宋体" w:eastAsia="宋体" w:cs="黑体"/>
                <w:color w:val="000000"/>
                <w:kern w:val="2"/>
                <w:sz w:val="21"/>
                <w:szCs w:val="21"/>
                <w:lang w:val="en-US" w:eastAsia="zh-CN" w:bidi="ar-SA"/>
              </w:rPr>
              <w:fldChar w:fldCharType="begin"/>
            </w:r>
            <w:r>
              <w:rPr>
                <w:rFonts w:hint="default" w:ascii="宋体" w:hAnsi="宋体" w:eastAsia="宋体" w:cs="黑体"/>
                <w:color w:val="000000"/>
                <w:kern w:val="2"/>
                <w:sz w:val="21"/>
                <w:szCs w:val="21"/>
                <w:lang w:val="en-US" w:eastAsia="zh-CN" w:bidi="ar-SA"/>
              </w:rPr>
              <w:instrText xml:space="preserve"> HYPERLINK "http://baike.sogou.com/lemma/ShowInnerLink.htm?lemmaId=6537325" \t "http://baike.sogou.com/_blank" </w:instrText>
            </w:r>
            <w:r>
              <w:rPr>
                <w:rFonts w:hint="default" w:ascii="宋体" w:hAnsi="宋体" w:eastAsia="宋体" w:cs="黑体"/>
                <w:color w:val="000000"/>
                <w:kern w:val="2"/>
                <w:sz w:val="21"/>
                <w:szCs w:val="21"/>
                <w:lang w:val="en-US" w:eastAsia="zh-CN" w:bidi="ar-SA"/>
              </w:rPr>
              <w:fldChar w:fldCharType="separate"/>
            </w:r>
            <w:r>
              <w:rPr>
                <w:rFonts w:hint="default" w:ascii="宋体" w:hAnsi="宋体" w:eastAsia="宋体" w:cs="黑体"/>
                <w:color w:val="000000"/>
                <w:kern w:val="2"/>
                <w:sz w:val="21"/>
                <w:szCs w:val="21"/>
                <w:lang w:val="en-US" w:eastAsia="zh-CN" w:bidi="ar-SA"/>
              </w:rPr>
              <w:t>喉水肿</w:t>
            </w:r>
            <w:r>
              <w:rPr>
                <w:rFonts w:hint="default" w:ascii="宋体" w:hAnsi="宋体" w:eastAsia="宋体" w:cs="黑体"/>
                <w:color w:val="000000"/>
                <w:kern w:val="2"/>
                <w:sz w:val="21"/>
                <w:szCs w:val="21"/>
                <w:lang w:val="en-US" w:eastAsia="zh-CN" w:bidi="ar-SA"/>
              </w:rPr>
              <w:fldChar w:fldCharType="end"/>
            </w:r>
            <w:r>
              <w:rPr>
                <w:rFonts w:hint="default" w:ascii="宋体" w:hAnsi="宋体" w:eastAsia="宋体" w:cs="黑体"/>
                <w:color w:val="000000"/>
                <w:kern w:val="2"/>
                <w:sz w:val="21"/>
                <w:szCs w:val="21"/>
                <w:lang w:val="en-US" w:eastAsia="zh-CN" w:bidi="ar-SA"/>
              </w:rPr>
              <w:t>、声带痉挛而致窒息。</w:t>
            </w:r>
            <w:r>
              <w:rPr>
                <w:rFonts w:hint="default" w:ascii="宋体" w:hAnsi="宋体" w:eastAsia="宋体" w:cs="黑体"/>
                <w:color w:val="000000"/>
                <w:kern w:val="2"/>
                <w:sz w:val="21"/>
                <w:szCs w:val="21"/>
                <w:lang w:val="en-US" w:eastAsia="zh-CN" w:bidi="ar-SA"/>
              </w:rPr>
              <w:fldChar w:fldCharType="begin"/>
            </w:r>
            <w:r>
              <w:rPr>
                <w:rFonts w:hint="default" w:ascii="宋体" w:hAnsi="宋体" w:eastAsia="宋体" w:cs="黑体"/>
                <w:color w:val="000000"/>
                <w:kern w:val="2"/>
                <w:sz w:val="21"/>
                <w:szCs w:val="21"/>
                <w:lang w:val="en-US" w:eastAsia="zh-CN" w:bidi="ar-SA"/>
              </w:rPr>
              <w:instrText xml:space="preserve"> HYPERLINK "http://baike.sogou.com/lemma/ShowInnerLink.htm?lemmaId=20491353" \t "http://baike.sogou.com/_blank" </w:instrText>
            </w:r>
            <w:r>
              <w:rPr>
                <w:rFonts w:hint="default" w:ascii="宋体" w:hAnsi="宋体" w:eastAsia="宋体" w:cs="黑体"/>
                <w:color w:val="000000"/>
                <w:kern w:val="2"/>
                <w:sz w:val="21"/>
                <w:szCs w:val="21"/>
                <w:lang w:val="en-US" w:eastAsia="zh-CN" w:bidi="ar-SA"/>
              </w:rPr>
              <w:fldChar w:fldCharType="separate"/>
            </w:r>
            <w:r>
              <w:rPr>
                <w:rFonts w:hint="default" w:ascii="宋体" w:hAnsi="宋体" w:eastAsia="宋体" w:cs="黑体"/>
                <w:color w:val="000000"/>
                <w:kern w:val="2"/>
                <w:sz w:val="21"/>
                <w:szCs w:val="21"/>
                <w:lang w:val="en-US" w:eastAsia="zh-CN" w:bidi="ar-SA"/>
              </w:rPr>
              <w:t>急性中毒</w:t>
            </w:r>
            <w:r>
              <w:rPr>
                <w:rFonts w:hint="default" w:ascii="宋体" w:hAnsi="宋体" w:eastAsia="宋体" w:cs="黑体"/>
                <w:color w:val="000000"/>
                <w:kern w:val="2"/>
                <w:sz w:val="21"/>
                <w:szCs w:val="21"/>
                <w:lang w:val="en-US" w:eastAsia="zh-CN" w:bidi="ar-SA"/>
              </w:rPr>
              <w:fldChar w:fldCharType="end"/>
            </w:r>
            <w:r>
              <w:rPr>
                <w:rFonts w:hint="default" w:ascii="宋体" w:hAnsi="宋体" w:eastAsia="宋体" w:cs="黑体"/>
                <w:color w:val="000000"/>
                <w:kern w:val="2"/>
                <w:sz w:val="21"/>
                <w:szCs w:val="21"/>
                <w:lang w:val="en-US" w:eastAsia="zh-CN" w:bidi="ar-SA"/>
              </w:rPr>
              <w:t>：轻度中毒时，发生流泪、畏光、咳嗽，咽、喉灼痛等；严重中毒可在数小时内发生肺水肿；极高浓度吸入可引起反射性声门痉挛而致窒息。皮肤或眼接触发生炎症或灼伤。慢性影响：长期低浓度接触，可有头痛、头昏、乏力等全身症状以及</w:t>
            </w:r>
            <w:r>
              <w:rPr>
                <w:rFonts w:hint="default" w:ascii="宋体" w:hAnsi="宋体" w:eastAsia="宋体" w:cs="黑体"/>
                <w:color w:val="000000"/>
                <w:kern w:val="2"/>
                <w:sz w:val="21"/>
                <w:szCs w:val="21"/>
                <w:lang w:val="en-US" w:eastAsia="zh-CN" w:bidi="ar-SA"/>
              </w:rPr>
              <w:fldChar w:fldCharType="begin"/>
            </w:r>
            <w:r>
              <w:rPr>
                <w:rFonts w:hint="default" w:ascii="宋体" w:hAnsi="宋体" w:eastAsia="宋体" w:cs="黑体"/>
                <w:color w:val="000000"/>
                <w:kern w:val="2"/>
                <w:sz w:val="21"/>
                <w:szCs w:val="21"/>
                <w:lang w:val="en-US" w:eastAsia="zh-CN" w:bidi="ar-SA"/>
              </w:rPr>
              <w:instrText xml:space="preserve"> HYPERLINK "http://baike.sogou.com/lemma/ShowInnerLink.htm?lemmaId=7593888" \t "http://baike.sogou.com/_blank" </w:instrText>
            </w:r>
            <w:r>
              <w:rPr>
                <w:rFonts w:hint="default" w:ascii="宋体" w:hAnsi="宋体" w:eastAsia="宋体" w:cs="黑体"/>
                <w:color w:val="000000"/>
                <w:kern w:val="2"/>
                <w:sz w:val="21"/>
                <w:szCs w:val="21"/>
                <w:lang w:val="en-US" w:eastAsia="zh-CN" w:bidi="ar-SA"/>
              </w:rPr>
              <w:fldChar w:fldCharType="separate"/>
            </w:r>
            <w:r>
              <w:rPr>
                <w:rFonts w:hint="default" w:ascii="宋体" w:hAnsi="宋体" w:eastAsia="宋体" w:cs="黑体"/>
                <w:color w:val="000000"/>
                <w:kern w:val="2"/>
                <w:sz w:val="21"/>
                <w:szCs w:val="21"/>
                <w:lang w:val="en-US" w:eastAsia="zh-CN" w:bidi="ar-SA"/>
              </w:rPr>
              <w:t>慢性鼻炎</w:t>
            </w:r>
            <w:r>
              <w:rPr>
                <w:rFonts w:hint="default" w:ascii="宋体" w:hAnsi="宋体" w:eastAsia="宋体" w:cs="黑体"/>
                <w:color w:val="000000"/>
                <w:kern w:val="2"/>
                <w:sz w:val="21"/>
                <w:szCs w:val="21"/>
                <w:lang w:val="en-US" w:eastAsia="zh-CN" w:bidi="ar-SA"/>
              </w:rPr>
              <w:fldChar w:fldCharType="end"/>
            </w:r>
            <w:r>
              <w:rPr>
                <w:rFonts w:hint="default" w:ascii="宋体" w:hAnsi="宋体" w:eastAsia="宋体" w:cs="黑体"/>
                <w:color w:val="000000"/>
                <w:kern w:val="2"/>
                <w:sz w:val="21"/>
                <w:szCs w:val="21"/>
                <w:lang w:val="en-US" w:eastAsia="zh-CN" w:bidi="ar-SA"/>
              </w:rPr>
              <w:t>、</w:t>
            </w:r>
            <w:r>
              <w:rPr>
                <w:rFonts w:hint="default" w:ascii="宋体" w:hAnsi="宋体" w:eastAsia="宋体" w:cs="黑体"/>
                <w:color w:val="000000"/>
                <w:kern w:val="2"/>
                <w:sz w:val="21"/>
                <w:szCs w:val="21"/>
                <w:lang w:val="en-US" w:eastAsia="zh-CN" w:bidi="ar-SA"/>
              </w:rPr>
              <w:fldChar w:fldCharType="begin"/>
            </w:r>
            <w:r>
              <w:rPr>
                <w:rFonts w:hint="default" w:ascii="宋体" w:hAnsi="宋体" w:eastAsia="宋体" w:cs="黑体"/>
                <w:color w:val="000000"/>
                <w:kern w:val="2"/>
                <w:sz w:val="21"/>
                <w:szCs w:val="21"/>
                <w:lang w:val="en-US" w:eastAsia="zh-CN" w:bidi="ar-SA"/>
              </w:rPr>
              <w:instrText xml:space="preserve"> HYPERLINK "http://baike.sogou.com/lemma/ShowInnerLink.htm?lemmaId=3060235" \t "http://baike.sogou.com/_blank" </w:instrText>
            </w:r>
            <w:r>
              <w:rPr>
                <w:rFonts w:hint="default" w:ascii="宋体" w:hAnsi="宋体" w:eastAsia="宋体" w:cs="黑体"/>
                <w:color w:val="000000"/>
                <w:kern w:val="2"/>
                <w:sz w:val="21"/>
                <w:szCs w:val="21"/>
                <w:lang w:val="en-US" w:eastAsia="zh-CN" w:bidi="ar-SA"/>
              </w:rPr>
              <w:fldChar w:fldCharType="separate"/>
            </w:r>
            <w:r>
              <w:rPr>
                <w:rFonts w:hint="default" w:ascii="宋体" w:hAnsi="宋体" w:eastAsia="宋体" w:cs="黑体"/>
                <w:color w:val="000000"/>
                <w:kern w:val="2"/>
                <w:sz w:val="21"/>
                <w:szCs w:val="21"/>
                <w:lang w:val="en-US" w:eastAsia="zh-CN" w:bidi="ar-SA"/>
              </w:rPr>
              <w:t>咽喉炎</w:t>
            </w:r>
            <w:r>
              <w:rPr>
                <w:rFonts w:hint="default" w:ascii="宋体" w:hAnsi="宋体" w:eastAsia="宋体" w:cs="黑体"/>
                <w:color w:val="000000"/>
                <w:kern w:val="2"/>
                <w:sz w:val="21"/>
                <w:szCs w:val="21"/>
                <w:lang w:val="en-US" w:eastAsia="zh-CN" w:bidi="ar-SA"/>
              </w:rPr>
              <w:fldChar w:fldCharType="end"/>
            </w:r>
            <w:r>
              <w:rPr>
                <w:rFonts w:hint="default" w:ascii="宋体" w:hAnsi="宋体" w:eastAsia="宋体" w:cs="黑体"/>
                <w:color w:val="000000"/>
                <w:kern w:val="2"/>
                <w:sz w:val="21"/>
                <w:szCs w:val="21"/>
                <w:lang w:val="en-US" w:eastAsia="zh-CN" w:bidi="ar-SA"/>
              </w:rPr>
              <w:t>、支气管炎、嗅觉及</w:t>
            </w:r>
            <w:r>
              <w:rPr>
                <w:rFonts w:hint="default" w:ascii="宋体" w:hAnsi="宋体" w:eastAsia="宋体" w:cs="黑体"/>
                <w:color w:val="000000"/>
                <w:kern w:val="2"/>
                <w:sz w:val="21"/>
                <w:szCs w:val="21"/>
                <w:lang w:val="en-US" w:eastAsia="zh-CN" w:bidi="ar-SA"/>
              </w:rPr>
              <w:fldChar w:fldCharType="begin"/>
            </w:r>
            <w:r>
              <w:rPr>
                <w:rFonts w:hint="default" w:ascii="宋体" w:hAnsi="宋体" w:eastAsia="宋体" w:cs="黑体"/>
                <w:color w:val="000000"/>
                <w:kern w:val="2"/>
                <w:sz w:val="21"/>
                <w:szCs w:val="21"/>
                <w:lang w:val="en-US" w:eastAsia="zh-CN" w:bidi="ar-SA"/>
              </w:rPr>
              <w:instrText xml:space="preserve"> HYPERLINK "http://baike.sogou.com/lemma/ShowInnerLink.htm?lemmaId=59846282" \t "http://baike.sogou.com/_blank" </w:instrText>
            </w:r>
            <w:r>
              <w:rPr>
                <w:rFonts w:hint="default" w:ascii="宋体" w:hAnsi="宋体" w:eastAsia="宋体" w:cs="黑体"/>
                <w:color w:val="000000"/>
                <w:kern w:val="2"/>
                <w:sz w:val="21"/>
                <w:szCs w:val="21"/>
                <w:lang w:val="en-US" w:eastAsia="zh-CN" w:bidi="ar-SA"/>
              </w:rPr>
              <w:fldChar w:fldCharType="separate"/>
            </w:r>
            <w:r>
              <w:rPr>
                <w:rFonts w:hint="default" w:ascii="宋体" w:hAnsi="宋体" w:eastAsia="宋体" w:cs="黑体"/>
                <w:color w:val="000000"/>
                <w:kern w:val="2"/>
                <w:sz w:val="21"/>
                <w:szCs w:val="21"/>
                <w:lang w:val="en-US" w:eastAsia="zh-CN" w:bidi="ar-SA"/>
              </w:rPr>
              <w:t>味觉减退</w:t>
            </w:r>
            <w:r>
              <w:rPr>
                <w:rFonts w:hint="default" w:ascii="宋体" w:hAnsi="宋体" w:eastAsia="宋体" w:cs="黑体"/>
                <w:color w:val="000000"/>
                <w:kern w:val="2"/>
                <w:sz w:val="21"/>
                <w:szCs w:val="21"/>
                <w:lang w:val="en-US" w:eastAsia="zh-CN" w:bidi="ar-SA"/>
              </w:rPr>
              <w:fldChar w:fldCharType="end"/>
            </w:r>
            <w:r>
              <w:rPr>
                <w:rFonts w:hint="default" w:ascii="宋体" w:hAnsi="宋体" w:eastAsia="宋体" w:cs="黑体"/>
                <w:color w:val="000000"/>
                <w:kern w:val="2"/>
                <w:sz w:val="21"/>
                <w:szCs w:val="21"/>
                <w:lang w:val="en-US" w:eastAsia="zh-CN" w:bidi="ar-SA"/>
              </w:rPr>
              <w:t>等。少数工人有牙齿</w:t>
            </w:r>
            <w:r>
              <w:rPr>
                <w:rFonts w:hint="default" w:ascii="宋体" w:hAnsi="宋体" w:eastAsia="宋体" w:cs="黑体"/>
                <w:color w:val="000000"/>
                <w:kern w:val="2"/>
                <w:sz w:val="21"/>
                <w:szCs w:val="21"/>
                <w:lang w:val="en-US" w:eastAsia="zh-CN" w:bidi="ar-SA"/>
              </w:rPr>
              <w:fldChar w:fldCharType="begin"/>
            </w:r>
            <w:r>
              <w:rPr>
                <w:rFonts w:hint="default" w:ascii="宋体" w:hAnsi="宋体" w:eastAsia="宋体" w:cs="黑体"/>
                <w:color w:val="000000"/>
                <w:kern w:val="2"/>
                <w:sz w:val="21"/>
                <w:szCs w:val="21"/>
                <w:lang w:val="en-US" w:eastAsia="zh-CN" w:bidi="ar-SA"/>
              </w:rPr>
              <w:instrText xml:space="preserve"> HYPERLINK "http://baike.sogou.com/lemma/ShowInnerLink.htm?lemmaId=75872676" \t "http://baike.sogou.com/_blank" </w:instrText>
            </w:r>
            <w:r>
              <w:rPr>
                <w:rFonts w:hint="default" w:ascii="宋体" w:hAnsi="宋体" w:eastAsia="宋体" w:cs="黑体"/>
                <w:color w:val="000000"/>
                <w:kern w:val="2"/>
                <w:sz w:val="21"/>
                <w:szCs w:val="21"/>
                <w:lang w:val="en-US" w:eastAsia="zh-CN" w:bidi="ar-SA"/>
              </w:rPr>
              <w:fldChar w:fldCharType="separate"/>
            </w:r>
            <w:r>
              <w:rPr>
                <w:rFonts w:hint="default" w:ascii="宋体" w:hAnsi="宋体" w:eastAsia="宋体" w:cs="黑体"/>
                <w:color w:val="000000"/>
                <w:kern w:val="2"/>
                <w:sz w:val="21"/>
                <w:szCs w:val="21"/>
                <w:lang w:val="en-US" w:eastAsia="zh-CN" w:bidi="ar-SA"/>
              </w:rPr>
              <w:t>酸蚀症</w:t>
            </w:r>
            <w:r>
              <w:rPr>
                <w:rFonts w:hint="default" w:ascii="宋体" w:hAnsi="宋体" w:eastAsia="宋体" w:cs="黑体"/>
                <w:color w:val="000000"/>
                <w:kern w:val="2"/>
                <w:sz w:val="21"/>
                <w:szCs w:val="21"/>
                <w:lang w:val="en-US" w:eastAsia="zh-CN" w:bidi="ar-SA"/>
              </w:rPr>
              <w:fldChar w:fldCharType="end"/>
            </w:r>
            <w:r>
              <w:rPr>
                <w:rFonts w:hint="default" w:ascii="宋体" w:hAnsi="宋体" w:eastAsia="宋体" w:cs="黑体"/>
                <w:color w:val="000000"/>
                <w:kern w:val="2"/>
                <w:sz w:val="21"/>
                <w:szCs w:val="21"/>
                <w:lang w:val="en-US" w:eastAsia="zh-CN" w:bidi="ar-SA"/>
              </w:rPr>
              <w:t>。</w:t>
            </w:r>
          </w:p>
        </w:tc>
        <w:tc>
          <w:tcPr>
            <w:tcW w:w="1085" w:type="dxa"/>
            <w:vAlign w:val="center"/>
          </w:tcPr>
          <w:p>
            <w:pPr>
              <w:jc w:val="center"/>
              <w:rPr>
                <w:rFonts w:hint="eastAsia" w:ascii="宋体" w:hAnsi="宋体"/>
                <w:color w:val="000000"/>
                <w:szCs w:val="21"/>
              </w:rPr>
            </w:pPr>
          </w:p>
        </w:tc>
      </w:tr>
    </w:tbl>
    <w:p>
      <w:pPr>
        <w:spacing w:line="360" w:lineRule="auto"/>
        <w:ind w:firstLine="560" w:firstLineChars="2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lang w:eastAsia="zh-CN"/>
        </w:rPr>
        <w:t>）主要危险单元</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参照《建</w:t>
      </w:r>
      <w:r>
        <w:rPr>
          <w:rFonts w:hint="eastAsia" w:ascii="仿宋_GB2312" w:hAnsi="仿宋_GB2312" w:eastAsia="仿宋_GB2312" w:cs="仿宋_GB2312"/>
          <w:color w:val="000000"/>
          <w:sz w:val="28"/>
          <w:szCs w:val="28"/>
          <w:lang w:eastAsia="zh-CN"/>
        </w:rPr>
        <w:t>设</w:t>
      </w:r>
      <w:r>
        <w:rPr>
          <w:rFonts w:hint="eastAsia" w:ascii="仿宋_GB2312" w:hAnsi="仿宋_GB2312" w:eastAsia="仿宋_GB2312" w:cs="仿宋_GB2312"/>
          <w:color w:val="000000"/>
          <w:sz w:val="28"/>
          <w:szCs w:val="28"/>
        </w:rPr>
        <w:t>项目环境风险评价技术导则》（HJ/169-2004）及生产工艺流程，将整个</w:t>
      </w:r>
      <w:r>
        <w:rPr>
          <w:rFonts w:hint="eastAsia" w:ascii="仿宋_GB2312" w:hAnsi="仿宋_GB2312" w:eastAsia="仿宋_GB2312" w:cs="仿宋_GB2312"/>
          <w:color w:val="000000"/>
          <w:sz w:val="28"/>
          <w:szCs w:val="28"/>
          <w:lang w:eastAsia="zh-CN"/>
        </w:rPr>
        <w:t>公司</w:t>
      </w:r>
      <w:r>
        <w:rPr>
          <w:rFonts w:hint="eastAsia" w:ascii="仿宋_GB2312" w:hAnsi="仿宋_GB2312" w:eastAsia="仿宋_GB2312" w:cs="仿宋_GB2312"/>
          <w:color w:val="000000"/>
          <w:sz w:val="28"/>
          <w:szCs w:val="28"/>
        </w:rPr>
        <w:t>分为</w:t>
      </w:r>
      <w:r>
        <w:rPr>
          <w:rFonts w:hint="eastAsia" w:ascii="仿宋_GB2312" w:hAnsi="仿宋_GB2312" w:eastAsia="仿宋_GB2312" w:cs="仿宋_GB2312"/>
          <w:color w:val="000000"/>
          <w:sz w:val="28"/>
          <w:szCs w:val="28"/>
          <w:lang w:eastAsia="zh-CN"/>
        </w:rPr>
        <w:t>硫化钠生产单元、硫酸钡生产单元和硝钡精制生产单元等三个主要危险单元</w:t>
      </w:r>
      <w:r>
        <w:rPr>
          <w:rFonts w:hint="eastAsia" w:ascii="仿宋_GB2312" w:hAnsi="仿宋_GB2312" w:eastAsia="仿宋_GB2312" w:cs="仿宋_GB2312"/>
          <w:color w:val="000000"/>
          <w:sz w:val="28"/>
          <w:szCs w:val="28"/>
        </w:rPr>
        <w:t>。</w:t>
      </w:r>
    </w:p>
    <w:p>
      <w:pPr>
        <w:spacing w:line="360" w:lineRule="auto"/>
        <w:ind w:firstLine="560" w:firstLineChars="2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①硫化钠生产单元</w:t>
      </w:r>
    </w:p>
    <w:p>
      <w:pPr>
        <w:spacing w:line="360" w:lineRule="auto"/>
        <w:ind w:firstLine="560" w:firstLineChars="200"/>
        <w:rPr>
          <w:rFonts w:hint="eastAsia" w:ascii="Arial" w:hAnsi="Arial" w:eastAsia="仿宋_GB2312" w:cs="Arial"/>
          <w:color w:val="000000"/>
          <w:sz w:val="28"/>
          <w:szCs w:val="28"/>
          <w:lang w:val="en-US" w:eastAsia="zh-CN"/>
        </w:rPr>
      </w:pPr>
      <w:r>
        <w:rPr>
          <w:rFonts w:hint="eastAsia" w:ascii="仿宋_GB2312" w:hAnsi="仿宋_GB2312" w:eastAsia="仿宋_GB2312" w:cs="仿宋_GB2312"/>
          <w:color w:val="000000"/>
          <w:sz w:val="28"/>
          <w:szCs w:val="28"/>
          <w:lang w:eastAsia="zh-CN"/>
        </w:rPr>
        <w:t>稀硫化钠溶液储罐泄漏：我公司低铁硫化钠车间共有稀硫化钠溶液（浓度</w:t>
      </w:r>
      <w:r>
        <w:rPr>
          <w:rFonts w:hint="eastAsia" w:ascii="仿宋_GB2312" w:hAnsi="仿宋_GB2312" w:eastAsia="仿宋_GB2312" w:cs="仿宋_GB2312"/>
          <w:color w:val="000000"/>
          <w:sz w:val="28"/>
          <w:szCs w:val="28"/>
          <w:lang w:val="en-US" w:eastAsia="zh-CN"/>
        </w:rPr>
        <w:t>50g/L</w:t>
      </w:r>
      <w:r>
        <w:rPr>
          <w:rFonts w:hint="eastAsia" w:ascii="仿宋_GB2312" w:hAnsi="仿宋_GB2312" w:eastAsia="仿宋_GB2312" w:cs="仿宋_GB2312"/>
          <w:color w:val="000000"/>
          <w:sz w:val="28"/>
          <w:szCs w:val="28"/>
          <w:lang w:eastAsia="zh-CN"/>
        </w:rPr>
        <w:t>）储罐</w:t>
      </w:r>
      <w:r>
        <w:rPr>
          <w:rFonts w:hint="eastAsia" w:ascii="仿宋_GB2312" w:hAnsi="仿宋_GB2312" w:eastAsia="仿宋_GB2312" w:cs="仿宋_GB2312"/>
          <w:color w:val="000000"/>
          <w:sz w:val="28"/>
          <w:szCs w:val="28"/>
          <w:lang w:val="en-US" w:eastAsia="zh-CN"/>
        </w:rPr>
        <w:t>9个，每个储罐可存放稀硫化钠溶液300m</w:t>
      </w:r>
      <w:r>
        <w:rPr>
          <w:rFonts w:hint="eastAsia" w:ascii="仿宋_GB2312" w:hAnsi="仿宋_GB2312" w:eastAsia="仿宋_GB2312" w:cs="仿宋_GB2312"/>
          <w:color w:val="000000"/>
          <w:sz w:val="28"/>
          <w:szCs w:val="28"/>
          <w:vertAlign w:val="superscript"/>
          <w:lang w:val="en-US" w:eastAsia="zh-CN"/>
        </w:rPr>
        <w:t>3</w:t>
      </w:r>
      <w:r>
        <w:rPr>
          <w:rFonts w:hint="eastAsia" w:ascii="仿宋_GB2312" w:hAnsi="仿宋_GB2312" w:eastAsia="仿宋_GB2312" w:cs="仿宋_GB2312"/>
          <w:color w:val="000000"/>
          <w:sz w:val="28"/>
          <w:szCs w:val="28"/>
          <w:lang w:val="en-US" w:eastAsia="zh-CN"/>
        </w:rPr>
        <w:t>。正常生产时稀硫化钠溶液存量为1200m</w:t>
      </w:r>
      <w:r>
        <w:rPr>
          <w:rFonts w:hint="eastAsia" w:ascii="仿宋_GB2312" w:hAnsi="仿宋_GB2312" w:eastAsia="仿宋_GB2312" w:cs="仿宋_GB2312"/>
          <w:color w:val="000000"/>
          <w:sz w:val="28"/>
          <w:szCs w:val="28"/>
          <w:vertAlign w:val="superscript"/>
          <w:lang w:val="en-US" w:eastAsia="zh-CN"/>
        </w:rPr>
        <w:t>3</w:t>
      </w:r>
      <w:r>
        <w:rPr>
          <w:rFonts w:hint="eastAsia" w:ascii="仿宋_GB2312" w:hAnsi="仿宋_GB2312" w:eastAsia="仿宋_GB2312" w:cs="仿宋_GB2312"/>
          <w:color w:val="000000"/>
          <w:sz w:val="28"/>
          <w:szCs w:val="28"/>
          <w:lang w:val="en-US" w:eastAsia="zh-CN"/>
        </w:rPr>
        <w:t>，使用4个储罐进行交替使用。正常为8个储罐进行使用，1个留作应急备用。储罐周围设有50</w:t>
      </w:r>
      <w:r>
        <w:rPr>
          <w:rFonts w:hint="default" w:ascii="仿宋_GB2312" w:hAnsi="仿宋_GB2312" w:eastAsia="仿宋_GB2312" w:cs="仿宋_GB2312"/>
          <w:color w:val="000000"/>
          <w:sz w:val="28"/>
          <w:szCs w:val="28"/>
          <w:lang w:val="en-US" w:eastAsia="zh-CN"/>
        </w:rPr>
        <w:t>㎝</w:t>
      </w:r>
      <w:r>
        <w:rPr>
          <w:rFonts w:hint="eastAsia" w:ascii="仿宋_GB2312" w:hAnsi="仿宋_GB2312" w:eastAsia="仿宋_GB2312" w:cs="仿宋_GB2312"/>
          <w:color w:val="000000"/>
          <w:sz w:val="28"/>
          <w:szCs w:val="28"/>
          <w:lang w:val="en-US" w:eastAsia="zh-CN"/>
        </w:rPr>
        <w:t>高围</w:t>
      </w:r>
      <w:r>
        <w:rPr>
          <w:rFonts w:hint="eastAsia" w:ascii="Arial" w:hAnsi="Arial" w:eastAsia="仿宋_GB2312" w:cs="Arial"/>
          <w:color w:val="000000"/>
          <w:sz w:val="28"/>
          <w:szCs w:val="28"/>
          <w:lang w:val="en-US" w:eastAsia="zh-CN"/>
        </w:rPr>
        <w:t>堰，并设有收集地坑、收集泵和排入事故应急池的管网。当因不可抗拒因素导致罐体破损时，收集装置无法将全部稀硫化钠溶液收集时，部分稀硫化钠溶液有通过雨水管网进入市政管网污染石川河。</w:t>
      </w:r>
    </w:p>
    <w:p>
      <w:pPr>
        <w:spacing w:line="360" w:lineRule="auto"/>
        <w:ind w:firstLine="560" w:firstLineChars="2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硫化钠产品粉末引起燃烧、爆炸：低铁硫化钠车间生产的硫化钠产品建有库房，日常生产存量不超过</w:t>
      </w:r>
      <w:r>
        <w:rPr>
          <w:rFonts w:hint="eastAsia" w:ascii="仿宋_GB2312" w:hAnsi="仿宋_GB2312" w:eastAsia="仿宋_GB2312" w:cs="仿宋_GB2312"/>
          <w:color w:val="000000"/>
          <w:sz w:val="28"/>
          <w:szCs w:val="28"/>
          <w:lang w:val="en-US" w:eastAsia="zh-CN"/>
        </w:rPr>
        <w:t>300吨，</w:t>
      </w:r>
      <w:r>
        <w:rPr>
          <w:rFonts w:hint="eastAsia" w:ascii="仿宋_GB2312" w:hAnsi="仿宋_GB2312" w:eastAsia="仿宋_GB2312" w:cs="仿宋_GB2312"/>
          <w:color w:val="000000"/>
          <w:sz w:val="28"/>
          <w:szCs w:val="28"/>
          <w:lang w:eastAsia="zh-CN"/>
        </w:rPr>
        <w:t>由于硫化钠属于第8.2 类碱性腐蚀品，其粉末具有一定的燃库烧性，具强腐蚀性、刺激性，可致人体灼伤。当因其它原因造成硫化钠泄漏，并引起燃烧时，会产生有毒有害气体硫化氢和二氧化硫，对人体和环境有一定影响。</w:t>
      </w:r>
    </w:p>
    <w:p>
      <w:pPr>
        <w:spacing w:line="360" w:lineRule="auto"/>
        <w:ind w:firstLine="560" w:firstLineChars="2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②硫酸钡生产单元</w:t>
      </w:r>
    </w:p>
    <w:p>
      <w:pPr>
        <w:spacing w:line="360" w:lineRule="auto"/>
        <w:ind w:firstLine="560" w:firstLineChars="200"/>
        <w:rPr>
          <w:rFonts w:hint="eastAsia" w:ascii="Arial" w:hAnsi="Arial" w:eastAsia="仿宋_GB2312" w:cs="Arial"/>
          <w:color w:val="000000"/>
          <w:sz w:val="28"/>
          <w:szCs w:val="28"/>
          <w:lang w:val="en-US" w:eastAsia="zh-CN"/>
        </w:rPr>
      </w:pPr>
      <w:r>
        <w:rPr>
          <w:rFonts w:hint="eastAsia" w:ascii="仿宋_GB2312" w:hAnsi="仿宋_GB2312" w:eastAsia="仿宋_GB2312" w:cs="仿宋_GB2312"/>
          <w:color w:val="000000"/>
          <w:sz w:val="28"/>
          <w:szCs w:val="28"/>
          <w:lang w:eastAsia="zh-CN"/>
        </w:rPr>
        <w:t>浓硫酸泄漏：我公司精细硫酸钡车间和超细硫酸钡分别有</w:t>
      </w:r>
      <w:r>
        <w:rPr>
          <w:rFonts w:hint="eastAsia" w:ascii="仿宋_GB2312" w:hAnsi="仿宋_GB2312" w:eastAsia="仿宋_GB2312" w:cs="仿宋_GB2312"/>
          <w:color w:val="000000"/>
          <w:sz w:val="28"/>
          <w:szCs w:val="28"/>
          <w:lang w:val="en-US" w:eastAsia="zh-CN"/>
        </w:rPr>
        <w:t>2个生产过程中使用的浓硫酸储罐，每个浓硫酸储罐存量为2m</w:t>
      </w:r>
      <w:r>
        <w:rPr>
          <w:rFonts w:hint="eastAsia" w:ascii="仿宋_GB2312" w:hAnsi="仿宋_GB2312" w:eastAsia="仿宋_GB2312" w:cs="仿宋_GB2312"/>
          <w:color w:val="000000"/>
          <w:sz w:val="28"/>
          <w:szCs w:val="28"/>
          <w:vertAlign w:val="superscript"/>
          <w:lang w:val="en-US" w:eastAsia="zh-CN"/>
        </w:rPr>
        <w:t>3</w:t>
      </w:r>
      <w:r>
        <w:rPr>
          <w:rFonts w:hint="eastAsia" w:ascii="仿宋_GB2312" w:hAnsi="仿宋_GB2312" w:eastAsia="仿宋_GB2312" w:cs="仿宋_GB2312"/>
          <w:color w:val="000000"/>
          <w:sz w:val="28"/>
          <w:szCs w:val="28"/>
          <w:lang w:val="en-US" w:eastAsia="zh-CN"/>
        </w:rPr>
        <w:t>。两个储罐周围分别设有防护栏杆、防泄漏地坑和50</w:t>
      </w:r>
      <w:r>
        <w:rPr>
          <w:rFonts w:hint="default" w:ascii="Arial" w:hAnsi="Arial" w:eastAsia="仿宋_GB2312" w:cs="Arial"/>
          <w:color w:val="000000"/>
          <w:sz w:val="28"/>
          <w:szCs w:val="28"/>
          <w:lang w:val="en-US" w:eastAsia="zh-CN"/>
        </w:rPr>
        <w:t>㎝</w:t>
      </w:r>
      <w:r>
        <w:rPr>
          <w:rFonts w:hint="eastAsia" w:ascii="Arial" w:hAnsi="Arial" w:eastAsia="仿宋_GB2312" w:cs="Arial"/>
          <w:color w:val="000000"/>
          <w:sz w:val="28"/>
          <w:szCs w:val="28"/>
          <w:lang w:val="en-US" w:eastAsia="zh-CN"/>
        </w:rPr>
        <w:t>围堰，并在栏杆周围悬挂明显的警示标志。浓硫酸采用双人双锁管理，正常使用采用泵直接送至酸洗罐，操作人员不直接接触硫酸。当罐体破损或其它因素导致浓硫酸外泄，无法完全收集时存在污染环境风险；</w:t>
      </w:r>
    </w:p>
    <w:p>
      <w:pPr>
        <w:spacing w:line="360" w:lineRule="auto"/>
        <w:ind w:firstLine="560" w:firstLineChars="200"/>
        <w:rPr>
          <w:rFonts w:hint="eastAsia" w:ascii="仿宋_GB2312" w:hAnsi="仿宋_GB2312" w:eastAsia="仿宋_GB2312" w:cs="仿宋_GB2312"/>
          <w:color w:val="000000"/>
          <w:sz w:val="28"/>
          <w:szCs w:val="28"/>
          <w:lang w:eastAsia="zh-CN"/>
        </w:rPr>
      </w:pPr>
      <w:r>
        <w:rPr>
          <w:rFonts w:hint="eastAsia" w:ascii="Arial" w:hAnsi="Arial" w:eastAsia="仿宋_GB2312" w:cs="Arial"/>
          <w:color w:val="000000"/>
          <w:sz w:val="28"/>
          <w:szCs w:val="28"/>
          <w:lang w:val="en-US" w:eastAsia="zh-CN"/>
        </w:rPr>
        <w:t>浓硫酸泄漏恰好与硫化钠溶液反应产生有毒有害气体：当浓硫酸泄漏恰好遇到稀硫化钠溶液储罐破损或部分外溢时，两者反应将生成有毒性的硫化氢气体，气体飘出车间外部，对周边环境和人身健康产生危害，存在环境风险。</w:t>
      </w:r>
    </w:p>
    <w:p>
      <w:pPr>
        <w:spacing w:line="360" w:lineRule="auto"/>
        <w:ind w:firstLine="560" w:firstLineChars="2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③硝钡精制车间生产单元</w:t>
      </w:r>
    </w:p>
    <w:p>
      <w:pPr>
        <w:spacing w:line="360" w:lineRule="auto"/>
        <w:ind w:firstLine="560" w:firstLineChars="200"/>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eastAsia="zh-CN"/>
        </w:rPr>
        <w:t>硫化钡溶液泄漏：该车间有硫化钡溶液储罐共计</w:t>
      </w:r>
      <w:r>
        <w:rPr>
          <w:rFonts w:hint="eastAsia" w:ascii="仿宋_GB2312" w:hAnsi="仿宋_GB2312" w:eastAsia="仿宋_GB2312" w:cs="仿宋_GB2312"/>
          <w:color w:val="000000"/>
          <w:sz w:val="28"/>
          <w:szCs w:val="28"/>
          <w:lang w:val="en-US" w:eastAsia="zh-CN"/>
        </w:rPr>
        <w:t>29个，分别为精制罐9个，每个储罐100m</w:t>
      </w:r>
      <w:r>
        <w:rPr>
          <w:rFonts w:hint="eastAsia" w:ascii="仿宋_GB2312" w:hAnsi="仿宋_GB2312" w:eastAsia="仿宋_GB2312" w:cs="仿宋_GB2312"/>
          <w:color w:val="000000"/>
          <w:sz w:val="28"/>
          <w:szCs w:val="28"/>
          <w:vertAlign w:val="superscript"/>
          <w:lang w:val="en-US" w:eastAsia="zh-CN"/>
        </w:rPr>
        <w:t>3</w:t>
      </w:r>
      <w:r>
        <w:rPr>
          <w:rFonts w:hint="eastAsia" w:ascii="仿宋_GB2312" w:hAnsi="仿宋_GB2312" w:eastAsia="仿宋_GB2312" w:cs="仿宋_GB2312"/>
          <w:color w:val="000000"/>
          <w:sz w:val="28"/>
          <w:szCs w:val="28"/>
          <w:lang w:val="en-US" w:eastAsia="zh-CN"/>
        </w:rPr>
        <w:t>，每4个为一组，备用1个作为应急储罐使用；配水罐20个，每个储罐20m</w:t>
      </w:r>
      <w:r>
        <w:rPr>
          <w:rFonts w:hint="eastAsia" w:ascii="仿宋_GB2312" w:hAnsi="仿宋_GB2312" w:eastAsia="仿宋_GB2312" w:cs="仿宋_GB2312"/>
          <w:color w:val="000000"/>
          <w:sz w:val="28"/>
          <w:szCs w:val="28"/>
          <w:vertAlign w:val="superscript"/>
          <w:lang w:val="en-US" w:eastAsia="zh-CN"/>
        </w:rPr>
        <w:t>3</w:t>
      </w:r>
      <w:r>
        <w:rPr>
          <w:rFonts w:hint="eastAsia" w:ascii="仿宋_GB2312" w:hAnsi="仿宋_GB2312" w:eastAsia="仿宋_GB2312" w:cs="仿宋_GB2312"/>
          <w:color w:val="000000"/>
          <w:sz w:val="28"/>
          <w:szCs w:val="28"/>
          <w:lang w:val="en-US" w:eastAsia="zh-CN"/>
        </w:rPr>
        <w:t>。硫化钡溶液日平均存量600m</w:t>
      </w:r>
      <w:r>
        <w:rPr>
          <w:rFonts w:hint="eastAsia" w:ascii="仿宋_GB2312" w:hAnsi="仿宋_GB2312" w:eastAsia="仿宋_GB2312" w:cs="仿宋_GB2312"/>
          <w:color w:val="000000"/>
          <w:sz w:val="28"/>
          <w:szCs w:val="28"/>
          <w:vertAlign w:val="superscript"/>
          <w:lang w:val="en-US" w:eastAsia="zh-CN"/>
        </w:rPr>
        <w:t>3</w:t>
      </w:r>
      <w:r>
        <w:rPr>
          <w:rFonts w:hint="eastAsia" w:ascii="仿宋_GB2312" w:hAnsi="仿宋_GB2312" w:eastAsia="仿宋_GB2312" w:cs="仿宋_GB2312"/>
          <w:color w:val="000000"/>
          <w:sz w:val="28"/>
          <w:szCs w:val="28"/>
          <w:lang w:val="en-US" w:eastAsia="zh-CN"/>
        </w:rPr>
        <w:t>，在硫化钡溶液储罐周围建有高30㎝收集水渠，并建有收集地坑。当有储罐发生泄漏，硫化钡溶液泄漏时，可通过收集水渠，排入收集地坑，再收集到应急储罐中去。当因不可抗力造成大面积罐体泄漏，回收装置不能满足需求时，可能造成部分硫化钡溶液通过雨水管网排至石川河造成污染事件。</w:t>
      </w:r>
    </w:p>
    <w:p>
      <w:pPr>
        <w:spacing w:line="360" w:lineRule="auto"/>
        <w:ind w:firstLine="560" w:firstLineChars="2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val="en-US" w:eastAsia="zh-CN"/>
        </w:rPr>
        <w:t>转炉烟气超标排放：硫化钡红料反应过程中在转炉经过煅烧产生的</w:t>
      </w:r>
      <w:r>
        <w:rPr>
          <w:rFonts w:hint="eastAsia" w:ascii="仿宋_GB2312" w:hAnsi="仿宋_GB2312" w:eastAsia="仿宋_GB2312" w:cs="仿宋_GB2312"/>
          <w:color w:val="000000"/>
          <w:sz w:val="28"/>
          <w:szCs w:val="28"/>
          <w:lang w:eastAsia="zh-CN"/>
        </w:rPr>
        <w:t>二氧化硫、氮氧化物和颗粒物正常情况下经过环保设施处理排放。当因紧急停电、事故或其它不可抗力导致紧急停产时，烟囱的烟气未经过处理直接排出。其二氧化硫、氮氧化物和颗粒物会超标排放，影响周边环境。</w:t>
      </w:r>
    </w:p>
    <w:p>
      <w:pPr>
        <w:spacing w:line="360" w:lineRule="auto"/>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（3）主要危险单元存量见附表3。</w:t>
      </w:r>
    </w:p>
    <w:p>
      <w:pPr>
        <w:spacing w:line="360" w:lineRule="auto"/>
        <w:ind w:firstLine="560" w:firstLineChars="20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表3  危险化学品贮存及位置统计</w:t>
      </w:r>
    </w:p>
    <w:tbl>
      <w:tblPr>
        <w:tblStyle w:val="26"/>
        <w:tblW w:w="8787"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04"/>
        <w:gridCol w:w="1365"/>
        <w:gridCol w:w="846"/>
        <w:gridCol w:w="939"/>
        <w:gridCol w:w="178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spacing w:line="360" w:lineRule="auto"/>
              <w:jc w:val="center"/>
              <w:rPr>
                <w:rFonts w:hint="eastAsia" w:ascii="宋体" w:hAnsi="宋体"/>
                <w:color w:val="000000"/>
                <w:szCs w:val="21"/>
              </w:rPr>
            </w:pPr>
            <w:r>
              <w:rPr>
                <w:rFonts w:hint="eastAsia" w:ascii="宋体" w:hAnsi="宋体"/>
                <w:color w:val="000000"/>
                <w:szCs w:val="21"/>
              </w:rPr>
              <w:t>序号</w:t>
            </w:r>
          </w:p>
        </w:tc>
        <w:tc>
          <w:tcPr>
            <w:tcW w:w="1704" w:type="dxa"/>
            <w:vAlign w:val="center"/>
          </w:tcPr>
          <w:p>
            <w:pPr>
              <w:jc w:val="center"/>
              <w:rPr>
                <w:rFonts w:hint="eastAsia" w:ascii="宋体" w:hAnsi="宋体"/>
                <w:color w:val="000000"/>
                <w:szCs w:val="21"/>
              </w:rPr>
            </w:pPr>
            <w:r>
              <w:rPr>
                <w:rFonts w:hint="eastAsia" w:ascii="宋体" w:hAnsi="宋体"/>
                <w:color w:val="000000"/>
                <w:szCs w:val="21"/>
              </w:rPr>
              <w:t>名称</w:t>
            </w:r>
          </w:p>
        </w:tc>
        <w:tc>
          <w:tcPr>
            <w:tcW w:w="1365" w:type="dxa"/>
            <w:vAlign w:val="center"/>
          </w:tcPr>
          <w:p>
            <w:pPr>
              <w:jc w:val="center"/>
              <w:rPr>
                <w:rFonts w:hint="eastAsia" w:ascii="宋体" w:hAnsi="宋体"/>
                <w:color w:val="000000"/>
                <w:szCs w:val="21"/>
              </w:rPr>
            </w:pPr>
            <w:r>
              <w:rPr>
                <w:rFonts w:hint="eastAsia" w:ascii="宋体" w:hAnsi="宋体"/>
                <w:color w:val="000000"/>
                <w:szCs w:val="21"/>
              </w:rPr>
              <w:t>储罐总容积（m</w:t>
            </w:r>
            <w:r>
              <w:rPr>
                <w:rFonts w:hint="eastAsia" w:ascii="宋体" w:hAnsi="宋体"/>
                <w:color w:val="000000"/>
                <w:szCs w:val="21"/>
                <w:vertAlign w:val="superscript"/>
              </w:rPr>
              <w:t>3</w:t>
            </w:r>
            <w:r>
              <w:rPr>
                <w:rFonts w:hint="eastAsia" w:ascii="宋体" w:hAnsi="宋体"/>
                <w:color w:val="000000"/>
                <w:szCs w:val="21"/>
              </w:rPr>
              <w:t>）</w:t>
            </w:r>
          </w:p>
        </w:tc>
        <w:tc>
          <w:tcPr>
            <w:tcW w:w="846" w:type="dxa"/>
            <w:vAlign w:val="center"/>
          </w:tcPr>
          <w:p>
            <w:pPr>
              <w:jc w:val="center"/>
              <w:rPr>
                <w:rFonts w:hint="eastAsia" w:ascii="宋体" w:hAnsi="宋体"/>
                <w:color w:val="000000"/>
                <w:szCs w:val="21"/>
              </w:rPr>
            </w:pPr>
            <w:r>
              <w:rPr>
                <w:rFonts w:hint="eastAsia" w:ascii="宋体" w:hAnsi="宋体"/>
                <w:color w:val="000000"/>
                <w:szCs w:val="21"/>
              </w:rPr>
              <w:t>数量（个）</w:t>
            </w:r>
          </w:p>
        </w:tc>
        <w:tc>
          <w:tcPr>
            <w:tcW w:w="939" w:type="dxa"/>
            <w:vAlign w:val="center"/>
          </w:tcPr>
          <w:p>
            <w:pPr>
              <w:jc w:val="center"/>
              <w:rPr>
                <w:rFonts w:hint="eastAsia" w:ascii="宋体" w:hAnsi="宋体"/>
                <w:color w:val="000000"/>
                <w:szCs w:val="21"/>
              </w:rPr>
            </w:pPr>
            <w:r>
              <w:rPr>
                <w:rFonts w:hint="eastAsia" w:ascii="宋体" w:hAnsi="宋体"/>
                <w:color w:val="000000"/>
                <w:szCs w:val="21"/>
              </w:rPr>
              <w:t>储存量</w:t>
            </w:r>
          </w:p>
          <w:p>
            <w:pPr>
              <w:jc w:val="center"/>
              <w:rPr>
                <w:rFonts w:hint="eastAsia" w:ascii="宋体" w:hAnsi="宋体"/>
                <w:color w:val="000000"/>
                <w:szCs w:val="21"/>
              </w:rPr>
            </w:pPr>
            <w:r>
              <w:rPr>
                <w:rFonts w:hint="eastAsia" w:ascii="宋体" w:hAnsi="宋体"/>
                <w:color w:val="000000"/>
                <w:szCs w:val="21"/>
              </w:rPr>
              <w:t>（m</w:t>
            </w:r>
            <w:r>
              <w:rPr>
                <w:rFonts w:hint="eastAsia" w:ascii="宋体" w:hAnsi="宋体"/>
                <w:color w:val="000000"/>
                <w:szCs w:val="21"/>
                <w:vertAlign w:val="superscript"/>
              </w:rPr>
              <w:t>3</w:t>
            </w:r>
            <w:r>
              <w:rPr>
                <w:rFonts w:hint="eastAsia" w:ascii="宋体" w:hAnsi="宋体"/>
                <w:color w:val="000000"/>
                <w:szCs w:val="21"/>
              </w:rPr>
              <w:t>）</w:t>
            </w:r>
          </w:p>
        </w:tc>
        <w:tc>
          <w:tcPr>
            <w:tcW w:w="1785" w:type="dxa"/>
            <w:vAlign w:val="center"/>
          </w:tcPr>
          <w:p>
            <w:pPr>
              <w:jc w:val="center"/>
              <w:rPr>
                <w:rFonts w:hint="eastAsia" w:ascii="宋体" w:hAnsi="宋体"/>
                <w:color w:val="000000"/>
                <w:szCs w:val="21"/>
              </w:rPr>
            </w:pPr>
            <w:r>
              <w:rPr>
                <w:rFonts w:hint="eastAsia" w:ascii="宋体" w:hAnsi="宋体"/>
                <w:color w:val="000000"/>
                <w:szCs w:val="21"/>
              </w:rPr>
              <w:t>放置地点及位置</w:t>
            </w:r>
          </w:p>
        </w:tc>
        <w:tc>
          <w:tcPr>
            <w:tcW w:w="1332" w:type="dxa"/>
            <w:vAlign w:val="center"/>
          </w:tcPr>
          <w:p>
            <w:pPr>
              <w:jc w:val="center"/>
              <w:rPr>
                <w:rFonts w:hint="eastAsia" w:ascii="宋体" w:hAnsi="宋体"/>
                <w:color w:val="000000"/>
                <w:szCs w:val="21"/>
              </w:rPr>
            </w:pPr>
            <w:r>
              <w:rPr>
                <w:rFonts w:hint="eastAsia" w:ascii="宋体" w:hAnsi="宋体"/>
                <w:color w:val="000000"/>
                <w:szCs w:val="21"/>
              </w:rPr>
              <w:t>储存物品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spacing w:line="360" w:lineRule="auto"/>
              <w:jc w:val="center"/>
              <w:rPr>
                <w:rFonts w:hint="eastAsia" w:ascii="宋体" w:hAnsi="宋体"/>
                <w:color w:val="000000"/>
                <w:szCs w:val="21"/>
              </w:rPr>
            </w:pPr>
            <w:r>
              <w:rPr>
                <w:rFonts w:hint="eastAsia" w:ascii="宋体" w:hAnsi="宋体"/>
                <w:color w:val="000000"/>
                <w:szCs w:val="21"/>
              </w:rPr>
              <w:t>1</w:t>
            </w:r>
          </w:p>
        </w:tc>
        <w:tc>
          <w:tcPr>
            <w:tcW w:w="1704"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硫酸罐</w:t>
            </w:r>
          </w:p>
        </w:tc>
        <w:tc>
          <w:tcPr>
            <w:tcW w:w="1365" w:type="dxa"/>
            <w:vAlign w:val="center"/>
          </w:tcPr>
          <w:p>
            <w:pPr>
              <w:spacing w:line="360" w:lineRule="auto"/>
              <w:jc w:val="center"/>
              <w:rPr>
                <w:rFonts w:hint="eastAsia" w:ascii="宋体" w:hAnsi="宋体"/>
                <w:color w:val="000000"/>
                <w:szCs w:val="21"/>
              </w:rPr>
            </w:pPr>
            <w:r>
              <w:rPr>
                <w:rFonts w:hint="eastAsia" w:ascii="宋体" w:hAnsi="宋体"/>
                <w:color w:val="000000"/>
                <w:szCs w:val="21"/>
              </w:rPr>
              <w:t>2.0</w:t>
            </w:r>
          </w:p>
        </w:tc>
        <w:tc>
          <w:tcPr>
            <w:tcW w:w="846" w:type="dxa"/>
            <w:vAlign w:val="center"/>
          </w:tcPr>
          <w:p>
            <w:pPr>
              <w:spacing w:line="360" w:lineRule="auto"/>
              <w:jc w:val="center"/>
              <w:rPr>
                <w:rFonts w:hint="eastAsia" w:ascii="宋体" w:hAnsi="宋体" w:eastAsia="宋体"/>
                <w:color w:val="000000"/>
                <w:szCs w:val="21"/>
                <w:lang w:eastAsia="zh-CN"/>
              </w:rPr>
            </w:pPr>
            <w:r>
              <w:rPr>
                <w:rFonts w:hint="eastAsia" w:ascii="宋体" w:hAnsi="宋体"/>
                <w:color w:val="000000"/>
                <w:szCs w:val="21"/>
                <w:lang w:val="en-US" w:eastAsia="zh-CN"/>
              </w:rPr>
              <w:t>2</w:t>
            </w:r>
          </w:p>
        </w:tc>
        <w:tc>
          <w:tcPr>
            <w:tcW w:w="939" w:type="dxa"/>
            <w:vAlign w:val="center"/>
          </w:tcPr>
          <w:p>
            <w:pPr>
              <w:spacing w:line="360" w:lineRule="auto"/>
              <w:jc w:val="center"/>
              <w:rPr>
                <w:rFonts w:hint="eastAsia" w:ascii="宋体" w:hAnsi="宋体" w:eastAsia="宋体"/>
                <w:color w:val="000000"/>
                <w:szCs w:val="21"/>
                <w:lang w:eastAsia="zh-CN"/>
              </w:rPr>
            </w:pPr>
            <w:r>
              <w:rPr>
                <w:rFonts w:hint="eastAsia" w:ascii="宋体" w:hAnsi="宋体"/>
                <w:color w:val="000000"/>
                <w:szCs w:val="21"/>
                <w:lang w:val="en-US" w:eastAsia="zh-CN"/>
              </w:rPr>
              <w:t>4</w:t>
            </w:r>
          </w:p>
        </w:tc>
        <w:tc>
          <w:tcPr>
            <w:tcW w:w="1785" w:type="dxa"/>
            <w:vAlign w:val="center"/>
          </w:tcPr>
          <w:p>
            <w:pPr>
              <w:spacing w:line="360" w:lineRule="auto"/>
              <w:jc w:val="center"/>
              <w:rPr>
                <w:rFonts w:hint="eastAsia" w:ascii="宋体" w:hAnsi="宋体"/>
                <w:color w:val="000000"/>
                <w:szCs w:val="21"/>
              </w:rPr>
            </w:pPr>
            <w:r>
              <w:rPr>
                <w:rFonts w:hint="eastAsia" w:ascii="宋体" w:hAnsi="宋体"/>
                <w:color w:val="000000"/>
                <w:szCs w:val="21"/>
              </w:rPr>
              <w:t>洗涤工序</w:t>
            </w:r>
          </w:p>
        </w:tc>
        <w:tc>
          <w:tcPr>
            <w:tcW w:w="1332" w:type="dxa"/>
            <w:vAlign w:val="center"/>
          </w:tcPr>
          <w:p>
            <w:pPr>
              <w:spacing w:line="360" w:lineRule="auto"/>
              <w:jc w:val="center"/>
              <w:rPr>
                <w:rFonts w:hint="eastAsia" w:ascii="宋体" w:hAnsi="宋体"/>
                <w:color w:val="000000"/>
                <w:szCs w:val="21"/>
              </w:rPr>
            </w:pPr>
            <w:r>
              <w:rPr>
                <w:rFonts w:hint="eastAsia" w:ascii="宋体" w:hAnsi="宋体"/>
                <w:color w:val="000000"/>
                <w:szCs w:val="21"/>
                <w:lang w:val="en-US" w:eastAsia="zh-CN"/>
              </w:rPr>
              <w:t>98%</w:t>
            </w:r>
            <w:r>
              <w:rPr>
                <w:rFonts w:hint="eastAsia" w:ascii="宋体" w:hAnsi="宋体"/>
                <w:color w:val="000000"/>
                <w:szCs w:val="21"/>
              </w:rPr>
              <w:t>浓硫酸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spacing w:line="360" w:lineRule="auto"/>
              <w:jc w:val="center"/>
              <w:rPr>
                <w:rFonts w:hint="eastAsia" w:ascii="宋体" w:hAnsi="宋体"/>
                <w:color w:val="000000"/>
                <w:szCs w:val="21"/>
              </w:rPr>
            </w:pPr>
            <w:r>
              <w:rPr>
                <w:rFonts w:hint="eastAsia" w:ascii="宋体" w:hAnsi="宋体"/>
                <w:color w:val="000000"/>
                <w:szCs w:val="21"/>
              </w:rPr>
              <w:t>2</w:t>
            </w:r>
          </w:p>
        </w:tc>
        <w:tc>
          <w:tcPr>
            <w:tcW w:w="1704" w:type="dxa"/>
            <w:vAlign w:val="center"/>
          </w:tcPr>
          <w:p>
            <w:pPr>
              <w:spacing w:line="360" w:lineRule="auto"/>
              <w:jc w:val="center"/>
              <w:rPr>
                <w:rFonts w:hint="eastAsia" w:ascii="宋体" w:hAnsi="宋体"/>
                <w:color w:val="000000"/>
                <w:szCs w:val="21"/>
              </w:rPr>
            </w:pPr>
            <w:r>
              <w:rPr>
                <w:rFonts w:hint="eastAsia" w:ascii="宋体" w:hAnsi="宋体"/>
                <w:color w:val="000000"/>
                <w:szCs w:val="21"/>
              </w:rPr>
              <w:t>碱储罐</w:t>
            </w:r>
          </w:p>
        </w:tc>
        <w:tc>
          <w:tcPr>
            <w:tcW w:w="1365" w:type="dxa"/>
            <w:vAlign w:val="center"/>
          </w:tcPr>
          <w:p>
            <w:pPr>
              <w:spacing w:line="360" w:lineRule="auto"/>
              <w:jc w:val="center"/>
              <w:rPr>
                <w:rFonts w:hint="eastAsia" w:ascii="宋体" w:hAnsi="宋体"/>
                <w:color w:val="000000"/>
                <w:szCs w:val="21"/>
              </w:rPr>
            </w:pPr>
            <w:r>
              <w:rPr>
                <w:rFonts w:hint="eastAsia" w:ascii="宋体" w:hAnsi="宋体"/>
                <w:color w:val="000000"/>
                <w:szCs w:val="21"/>
              </w:rPr>
              <w:t>2000</w:t>
            </w:r>
          </w:p>
        </w:tc>
        <w:tc>
          <w:tcPr>
            <w:tcW w:w="846" w:type="dxa"/>
            <w:vAlign w:val="center"/>
          </w:tcPr>
          <w:p>
            <w:pPr>
              <w:spacing w:line="360" w:lineRule="auto"/>
              <w:jc w:val="center"/>
              <w:rPr>
                <w:rFonts w:hint="eastAsia" w:ascii="宋体" w:hAnsi="宋体" w:eastAsia="宋体"/>
                <w:color w:val="000000"/>
                <w:szCs w:val="21"/>
                <w:lang w:eastAsia="zh-CN"/>
              </w:rPr>
            </w:pPr>
            <w:r>
              <w:rPr>
                <w:rFonts w:hint="eastAsia" w:ascii="宋体" w:hAnsi="宋体"/>
                <w:color w:val="000000"/>
                <w:szCs w:val="21"/>
                <w:lang w:val="en-US" w:eastAsia="zh-CN"/>
              </w:rPr>
              <w:t>9</w:t>
            </w:r>
          </w:p>
        </w:tc>
        <w:tc>
          <w:tcPr>
            <w:tcW w:w="939" w:type="dxa"/>
            <w:vAlign w:val="center"/>
          </w:tcPr>
          <w:p>
            <w:pPr>
              <w:spacing w:line="360" w:lineRule="auto"/>
              <w:jc w:val="center"/>
              <w:rPr>
                <w:rFonts w:hint="eastAsia"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200</w:t>
            </w:r>
          </w:p>
        </w:tc>
        <w:tc>
          <w:tcPr>
            <w:tcW w:w="1785" w:type="dxa"/>
            <w:vAlign w:val="center"/>
          </w:tcPr>
          <w:p>
            <w:pPr>
              <w:spacing w:line="360" w:lineRule="auto"/>
              <w:jc w:val="center"/>
              <w:rPr>
                <w:rFonts w:hint="eastAsia" w:ascii="宋体" w:hAnsi="宋体"/>
                <w:color w:val="000000"/>
                <w:szCs w:val="21"/>
              </w:rPr>
            </w:pPr>
            <w:r>
              <w:rPr>
                <w:rFonts w:hint="eastAsia" w:ascii="宋体" w:hAnsi="宋体"/>
                <w:color w:val="000000"/>
                <w:szCs w:val="21"/>
              </w:rPr>
              <w:t>固液分离工序</w:t>
            </w:r>
          </w:p>
        </w:tc>
        <w:tc>
          <w:tcPr>
            <w:tcW w:w="1332" w:type="dxa"/>
            <w:vAlign w:val="center"/>
          </w:tcPr>
          <w:p>
            <w:pPr>
              <w:spacing w:line="360" w:lineRule="auto"/>
              <w:jc w:val="center"/>
              <w:rPr>
                <w:rFonts w:hint="eastAsia" w:ascii="宋体" w:hAnsi="宋体"/>
                <w:color w:val="000000"/>
                <w:szCs w:val="21"/>
              </w:rPr>
            </w:pPr>
            <w:r>
              <w:rPr>
                <w:rFonts w:hint="eastAsia" w:ascii="宋体" w:hAnsi="宋体"/>
                <w:color w:val="000000"/>
                <w:szCs w:val="21"/>
              </w:rPr>
              <w:t>5%硫化碱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spacing w:line="360" w:lineRule="auto"/>
              <w:jc w:val="center"/>
              <w:rPr>
                <w:rFonts w:hint="eastAsia" w:ascii="宋体" w:hAnsi="宋体"/>
                <w:color w:val="000000"/>
                <w:szCs w:val="21"/>
              </w:rPr>
            </w:pPr>
            <w:r>
              <w:rPr>
                <w:rFonts w:hint="eastAsia" w:ascii="宋体" w:hAnsi="宋体"/>
                <w:color w:val="000000"/>
                <w:szCs w:val="21"/>
              </w:rPr>
              <w:t>3</w:t>
            </w:r>
          </w:p>
        </w:tc>
        <w:tc>
          <w:tcPr>
            <w:tcW w:w="1704" w:type="dxa"/>
            <w:vAlign w:val="center"/>
          </w:tcPr>
          <w:p>
            <w:pPr>
              <w:spacing w:line="360" w:lineRule="auto"/>
              <w:jc w:val="center"/>
              <w:rPr>
                <w:rFonts w:hint="eastAsia" w:ascii="宋体" w:hAnsi="宋体"/>
                <w:color w:val="000000"/>
                <w:szCs w:val="21"/>
              </w:rPr>
            </w:pPr>
            <w:r>
              <w:rPr>
                <w:rFonts w:hint="eastAsia" w:ascii="宋体" w:hAnsi="宋体"/>
                <w:color w:val="000000"/>
                <w:szCs w:val="21"/>
              </w:rPr>
              <w:t>浓碱储罐</w:t>
            </w:r>
          </w:p>
        </w:tc>
        <w:tc>
          <w:tcPr>
            <w:tcW w:w="1365" w:type="dxa"/>
            <w:vAlign w:val="center"/>
          </w:tcPr>
          <w:p>
            <w:pPr>
              <w:spacing w:line="360" w:lineRule="auto"/>
              <w:jc w:val="center"/>
              <w:rPr>
                <w:rFonts w:hint="eastAsia" w:ascii="宋体" w:hAnsi="宋体"/>
                <w:color w:val="000000"/>
                <w:szCs w:val="21"/>
              </w:rPr>
            </w:pPr>
            <w:r>
              <w:rPr>
                <w:rFonts w:hint="eastAsia" w:ascii="宋体" w:hAnsi="宋体"/>
                <w:color w:val="000000"/>
                <w:szCs w:val="21"/>
              </w:rPr>
              <w:t>600</w:t>
            </w:r>
          </w:p>
        </w:tc>
        <w:tc>
          <w:tcPr>
            <w:tcW w:w="846" w:type="dxa"/>
            <w:vAlign w:val="center"/>
          </w:tcPr>
          <w:p>
            <w:pPr>
              <w:spacing w:line="360" w:lineRule="auto"/>
              <w:jc w:val="center"/>
              <w:rPr>
                <w:rFonts w:hint="eastAsia" w:ascii="宋体" w:hAnsi="宋体"/>
                <w:color w:val="000000"/>
                <w:szCs w:val="21"/>
              </w:rPr>
            </w:pPr>
            <w:r>
              <w:rPr>
                <w:rFonts w:hint="eastAsia" w:ascii="宋体" w:hAnsi="宋体"/>
                <w:color w:val="000000"/>
                <w:szCs w:val="21"/>
              </w:rPr>
              <w:t>6</w:t>
            </w:r>
          </w:p>
        </w:tc>
        <w:tc>
          <w:tcPr>
            <w:tcW w:w="939" w:type="dxa"/>
            <w:vAlign w:val="center"/>
          </w:tcPr>
          <w:p>
            <w:pPr>
              <w:spacing w:line="360" w:lineRule="auto"/>
              <w:jc w:val="center"/>
              <w:rPr>
                <w:rFonts w:hint="eastAsia" w:ascii="宋体" w:hAnsi="宋体"/>
                <w:color w:val="000000"/>
                <w:szCs w:val="21"/>
              </w:rPr>
            </w:pPr>
            <w:r>
              <w:rPr>
                <w:rFonts w:hint="eastAsia" w:ascii="宋体" w:hAnsi="宋体"/>
                <w:color w:val="000000"/>
                <w:szCs w:val="21"/>
              </w:rPr>
              <w:t>500</w:t>
            </w:r>
          </w:p>
        </w:tc>
        <w:tc>
          <w:tcPr>
            <w:tcW w:w="1785" w:type="dxa"/>
            <w:vAlign w:val="center"/>
          </w:tcPr>
          <w:p>
            <w:pPr>
              <w:spacing w:line="360" w:lineRule="auto"/>
              <w:jc w:val="center"/>
              <w:rPr>
                <w:rFonts w:hint="eastAsia" w:ascii="宋体" w:hAnsi="宋体"/>
                <w:color w:val="000000"/>
                <w:szCs w:val="21"/>
              </w:rPr>
            </w:pPr>
            <w:r>
              <w:rPr>
                <w:rFonts w:hint="eastAsia" w:ascii="宋体" w:hAnsi="宋体"/>
                <w:color w:val="000000"/>
                <w:szCs w:val="21"/>
              </w:rPr>
              <w:t>碱蒸发制片工序</w:t>
            </w:r>
          </w:p>
        </w:tc>
        <w:tc>
          <w:tcPr>
            <w:tcW w:w="1332" w:type="dxa"/>
            <w:vAlign w:val="center"/>
          </w:tcPr>
          <w:p>
            <w:pPr>
              <w:spacing w:line="360" w:lineRule="auto"/>
              <w:jc w:val="center"/>
              <w:rPr>
                <w:rFonts w:hint="eastAsia" w:ascii="宋体" w:hAnsi="宋体"/>
                <w:color w:val="000000"/>
                <w:szCs w:val="21"/>
              </w:rPr>
            </w:pPr>
            <w:r>
              <w:rPr>
                <w:rFonts w:hint="eastAsia" w:ascii="宋体" w:hAnsi="宋体"/>
                <w:color w:val="000000"/>
                <w:szCs w:val="21"/>
              </w:rPr>
              <w:t>25%硫化碱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spacing w:line="360" w:lineRule="auto"/>
              <w:jc w:val="center"/>
              <w:rPr>
                <w:rFonts w:hint="eastAsia" w:ascii="宋体" w:hAnsi="宋体"/>
                <w:color w:val="000000"/>
                <w:szCs w:val="21"/>
              </w:rPr>
            </w:pPr>
            <w:r>
              <w:rPr>
                <w:rFonts w:hint="eastAsia" w:ascii="宋体" w:hAnsi="宋体"/>
                <w:color w:val="000000"/>
                <w:szCs w:val="21"/>
              </w:rPr>
              <w:t>4</w:t>
            </w:r>
          </w:p>
        </w:tc>
        <w:tc>
          <w:tcPr>
            <w:tcW w:w="1704" w:type="dxa"/>
            <w:vAlign w:val="center"/>
          </w:tcPr>
          <w:p>
            <w:pPr>
              <w:spacing w:line="360" w:lineRule="auto"/>
              <w:jc w:val="center"/>
              <w:rPr>
                <w:rFonts w:hint="eastAsia" w:ascii="宋体" w:hAnsi="宋体"/>
                <w:color w:val="000000"/>
                <w:szCs w:val="21"/>
              </w:rPr>
            </w:pPr>
            <w:r>
              <w:rPr>
                <w:rFonts w:hint="eastAsia" w:ascii="宋体" w:hAnsi="宋体"/>
                <w:color w:val="000000"/>
                <w:szCs w:val="21"/>
              </w:rPr>
              <w:t>钡水澄清储罐</w:t>
            </w:r>
          </w:p>
        </w:tc>
        <w:tc>
          <w:tcPr>
            <w:tcW w:w="1365" w:type="dxa"/>
            <w:vAlign w:val="center"/>
          </w:tcPr>
          <w:p>
            <w:pPr>
              <w:spacing w:line="360" w:lineRule="auto"/>
              <w:jc w:val="center"/>
              <w:rPr>
                <w:rFonts w:hint="eastAsia" w:ascii="宋体" w:hAnsi="宋体"/>
                <w:color w:val="000000"/>
                <w:szCs w:val="21"/>
              </w:rPr>
            </w:pPr>
            <w:r>
              <w:rPr>
                <w:rFonts w:hint="eastAsia" w:ascii="宋体" w:hAnsi="宋体"/>
                <w:color w:val="000000"/>
                <w:szCs w:val="21"/>
              </w:rPr>
              <w:t>1600</w:t>
            </w:r>
          </w:p>
        </w:tc>
        <w:tc>
          <w:tcPr>
            <w:tcW w:w="846" w:type="dxa"/>
            <w:vAlign w:val="center"/>
          </w:tcPr>
          <w:p>
            <w:pPr>
              <w:spacing w:line="360" w:lineRule="auto"/>
              <w:jc w:val="center"/>
              <w:rPr>
                <w:rFonts w:hint="eastAsia" w:ascii="宋体" w:hAnsi="宋体"/>
                <w:color w:val="000000"/>
                <w:szCs w:val="21"/>
              </w:rPr>
            </w:pPr>
            <w:r>
              <w:rPr>
                <w:rFonts w:hint="eastAsia" w:ascii="宋体" w:hAnsi="宋体"/>
                <w:color w:val="000000"/>
                <w:szCs w:val="21"/>
              </w:rPr>
              <w:t>8</w:t>
            </w:r>
          </w:p>
        </w:tc>
        <w:tc>
          <w:tcPr>
            <w:tcW w:w="939" w:type="dxa"/>
            <w:vAlign w:val="center"/>
          </w:tcPr>
          <w:p>
            <w:pPr>
              <w:spacing w:line="360" w:lineRule="auto"/>
              <w:jc w:val="center"/>
              <w:rPr>
                <w:rFonts w:hint="eastAsia" w:ascii="宋体" w:hAnsi="宋体"/>
                <w:color w:val="000000"/>
                <w:szCs w:val="21"/>
              </w:rPr>
            </w:pPr>
            <w:r>
              <w:rPr>
                <w:rFonts w:hint="eastAsia" w:ascii="宋体" w:hAnsi="宋体"/>
                <w:color w:val="000000"/>
                <w:szCs w:val="21"/>
              </w:rPr>
              <w:t>1450</w:t>
            </w:r>
          </w:p>
        </w:tc>
        <w:tc>
          <w:tcPr>
            <w:tcW w:w="1785" w:type="dxa"/>
            <w:vAlign w:val="center"/>
          </w:tcPr>
          <w:p>
            <w:pPr>
              <w:spacing w:line="360" w:lineRule="auto"/>
              <w:jc w:val="center"/>
              <w:rPr>
                <w:rFonts w:hint="eastAsia" w:ascii="宋体" w:hAnsi="宋体"/>
                <w:color w:val="000000"/>
                <w:szCs w:val="21"/>
              </w:rPr>
            </w:pPr>
            <w:r>
              <w:rPr>
                <w:rFonts w:hint="eastAsia" w:ascii="宋体" w:hAnsi="宋体"/>
                <w:color w:val="000000"/>
                <w:szCs w:val="21"/>
              </w:rPr>
              <w:t>浸取澄清工序</w:t>
            </w:r>
          </w:p>
        </w:tc>
        <w:tc>
          <w:tcPr>
            <w:tcW w:w="1332"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硫化钡溶液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spacing w:line="36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5</w:t>
            </w:r>
          </w:p>
        </w:tc>
        <w:tc>
          <w:tcPr>
            <w:tcW w:w="1704"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硫化碱</w:t>
            </w:r>
            <w:r>
              <w:rPr>
                <w:rFonts w:hint="eastAsia" w:ascii="宋体" w:hAnsi="宋体"/>
                <w:color w:val="000000"/>
                <w:szCs w:val="21"/>
                <w:lang w:eastAsia="zh-CN"/>
              </w:rPr>
              <w:t>库房</w:t>
            </w:r>
          </w:p>
        </w:tc>
        <w:tc>
          <w:tcPr>
            <w:tcW w:w="1365" w:type="dxa"/>
            <w:vAlign w:val="center"/>
          </w:tcPr>
          <w:p>
            <w:pPr>
              <w:spacing w:line="360" w:lineRule="auto"/>
              <w:jc w:val="center"/>
              <w:rPr>
                <w:rFonts w:hint="eastAsia" w:ascii="宋体" w:hAnsi="宋体"/>
                <w:color w:val="000000"/>
                <w:szCs w:val="21"/>
              </w:rPr>
            </w:pPr>
            <w:r>
              <w:rPr>
                <w:rFonts w:hint="eastAsia" w:ascii="宋体" w:hAnsi="宋体"/>
                <w:color w:val="000000"/>
                <w:szCs w:val="21"/>
              </w:rPr>
              <w:t>3000m</w:t>
            </w:r>
            <w:r>
              <w:rPr>
                <w:rFonts w:hint="eastAsia" w:ascii="宋体" w:hAnsi="宋体"/>
                <w:color w:val="000000"/>
                <w:szCs w:val="21"/>
                <w:vertAlign w:val="superscript"/>
              </w:rPr>
              <w:t>2</w:t>
            </w:r>
          </w:p>
        </w:tc>
        <w:tc>
          <w:tcPr>
            <w:tcW w:w="846" w:type="dxa"/>
            <w:vAlign w:val="center"/>
          </w:tcPr>
          <w:p>
            <w:pPr>
              <w:spacing w:line="360" w:lineRule="auto"/>
              <w:jc w:val="center"/>
              <w:rPr>
                <w:rFonts w:hint="eastAsia" w:ascii="宋体" w:hAnsi="宋体"/>
                <w:color w:val="000000"/>
                <w:szCs w:val="21"/>
              </w:rPr>
            </w:pPr>
            <w:r>
              <w:rPr>
                <w:rFonts w:hint="eastAsia" w:ascii="宋体" w:hAnsi="宋体"/>
                <w:color w:val="000000"/>
                <w:szCs w:val="21"/>
              </w:rPr>
              <w:t>1</w:t>
            </w:r>
          </w:p>
        </w:tc>
        <w:tc>
          <w:tcPr>
            <w:tcW w:w="939" w:type="dxa"/>
            <w:vAlign w:val="center"/>
          </w:tcPr>
          <w:p>
            <w:pPr>
              <w:spacing w:line="360" w:lineRule="auto"/>
              <w:jc w:val="center"/>
              <w:rPr>
                <w:rFonts w:hint="eastAsia" w:ascii="宋体" w:hAnsi="宋体"/>
                <w:color w:val="000000"/>
                <w:szCs w:val="21"/>
              </w:rPr>
            </w:pPr>
            <w:r>
              <w:rPr>
                <w:rFonts w:hint="eastAsia" w:ascii="宋体" w:hAnsi="宋体"/>
                <w:color w:val="000000"/>
                <w:szCs w:val="21"/>
                <w:lang w:val="en-US" w:eastAsia="zh-CN"/>
              </w:rPr>
              <w:t>3</w:t>
            </w:r>
            <w:r>
              <w:rPr>
                <w:rFonts w:hint="eastAsia" w:ascii="宋体" w:hAnsi="宋体"/>
                <w:color w:val="000000"/>
                <w:szCs w:val="21"/>
              </w:rPr>
              <w:t>00</w:t>
            </w:r>
          </w:p>
        </w:tc>
        <w:tc>
          <w:tcPr>
            <w:tcW w:w="1785" w:type="dxa"/>
            <w:vAlign w:val="center"/>
          </w:tcPr>
          <w:p>
            <w:pPr>
              <w:spacing w:line="360" w:lineRule="auto"/>
              <w:jc w:val="center"/>
              <w:rPr>
                <w:rFonts w:hint="eastAsia" w:ascii="宋体" w:hAnsi="宋体"/>
                <w:color w:val="000000"/>
                <w:szCs w:val="21"/>
              </w:rPr>
            </w:pPr>
            <w:r>
              <w:rPr>
                <w:rFonts w:hint="eastAsia" w:ascii="宋体" w:hAnsi="宋体"/>
                <w:color w:val="000000"/>
                <w:szCs w:val="21"/>
              </w:rPr>
              <w:t>厂区西北</w:t>
            </w:r>
          </w:p>
        </w:tc>
        <w:tc>
          <w:tcPr>
            <w:tcW w:w="1332"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硫化钠产品</w:t>
            </w:r>
          </w:p>
        </w:tc>
      </w:tr>
    </w:tbl>
    <w:p>
      <w:pPr>
        <w:spacing w:line="360" w:lineRule="auto"/>
        <w:ind w:firstLine="560" w:firstLineChars="200"/>
        <w:jc w:val="center"/>
        <w:rPr>
          <w:rFonts w:hint="eastAsia" w:ascii="仿宋_GB2312" w:hAnsi="仿宋_GB2312" w:eastAsia="仿宋_GB2312" w:cs="仿宋_GB2312"/>
          <w:color w:val="0000FF"/>
          <w:sz w:val="28"/>
          <w:szCs w:val="28"/>
          <w:lang w:val="en-US" w:eastAsia="zh-CN"/>
        </w:rPr>
      </w:pPr>
    </w:p>
    <w:p>
      <w:pPr>
        <w:spacing w:line="360" w:lineRule="auto"/>
        <w:ind w:firstLine="560" w:firstLineChars="20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表4   本项目危险单元识别</w:t>
      </w:r>
    </w:p>
    <w:tbl>
      <w:tblPr>
        <w:tblStyle w:val="26"/>
        <w:tblW w:w="85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355"/>
        <w:gridCol w:w="2292"/>
        <w:gridCol w:w="1319"/>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45" w:type="dxa"/>
            <w:gridSpan w:val="2"/>
            <w:vAlign w:val="center"/>
          </w:tcPr>
          <w:p>
            <w:pPr>
              <w:spacing w:line="360" w:lineRule="auto"/>
              <w:jc w:val="center"/>
              <w:rPr>
                <w:rFonts w:hint="eastAsia" w:ascii="宋体" w:hAnsi="宋体"/>
                <w:color w:val="000000"/>
                <w:szCs w:val="21"/>
              </w:rPr>
            </w:pPr>
            <w:r>
              <w:rPr>
                <w:rFonts w:hint="eastAsia" w:ascii="宋体" w:hAnsi="宋体"/>
                <w:color w:val="000000"/>
                <w:szCs w:val="21"/>
              </w:rPr>
              <w:t>功能单元</w:t>
            </w:r>
          </w:p>
        </w:tc>
        <w:tc>
          <w:tcPr>
            <w:tcW w:w="3611" w:type="dxa"/>
            <w:gridSpan w:val="2"/>
            <w:vAlign w:val="center"/>
          </w:tcPr>
          <w:p>
            <w:pPr>
              <w:spacing w:line="360" w:lineRule="auto"/>
              <w:jc w:val="center"/>
              <w:rPr>
                <w:rFonts w:hint="eastAsia" w:ascii="宋体" w:hAnsi="宋体"/>
                <w:color w:val="000000"/>
                <w:szCs w:val="21"/>
              </w:rPr>
            </w:pPr>
            <w:r>
              <w:rPr>
                <w:rFonts w:hint="eastAsia" w:ascii="宋体" w:hAnsi="宋体"/>
                <w:color w:val="000000"/>
                <w:szCs w:val="21"/>
              </w:rPr>
              <w:t>子单元</w:t>
            </w:r>
          </w:p>
        </w:tc>
        <w:tc>
          <w:tcPr>
            <w:tcW w:w="2187" w:type="dxa"/>
            <w:vMerge w:val="restart"/>
            <w:vAlign w:val="center"/>
          </w:tcPr>
          <w:p>
            <w:pPr>
              <w:spacing w:line="360" w:lineRule="auto"/>
              <w:jc w:val="center"/>
              <w:rPr>
                <w:rFonts w:hint="eastAsia" w:ascii="宋体" w:hAnsi="宋体"/>
                <w:color w:val="000000"/>
                <w:szCs w:val="21"/>
              </w:rPr>
            </w:pPr>
            <w:r>
              <w:rPr>
                <w:rFonts w:hint="eastAsia" w:ascii="宋体" w:hAnsi="宋体"/>
                <w:color w:val="000000"/>
                <w:szCs w:val="21"/>
              </w:rPr>
              <w:t>危险单元类别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390" w:type="dxa"/>
            <w:vAlign w:val="center"/>
          </w:tcPr>
          <w:p>
            <w:pPr>
              <w:spacing w:line="360" w:lineRule="auto"/>
              <w:jc w:val="center"/>
              <w:rPr>
                <w:rFonts w:hint="eastAsia" w:ascii="宋体" w:hAnsi="宋体"/>
                <w:color w:val="000000"/>
                <w:szCs w:val="21"/>
              </w:rPr>
            </w:pPr>
            <w:r>
              <w:rPr>
                <w:rFonts w:hint="eastAsia" w:ascii="宋体" w:hAnsi="宋体"/>
                <w:color w:val="000000"/>
                <w:szCs w:val="21"/>
              </w:rPr>
              <w:t>名称</w:t>
            </w:r>
          </w:p>
        </w:tc>
        <w:tc>
          <w:tcPr>
            <w:tcW w:w="1355" w:type="dxa"/>
            <w:vAlign w:val="center"/>
          </w:tcPr>
          <w:p>
            <w:pPr>
              <w:spacing w:line="360" w:lineRule="auto"/>
              <w:jc w:val="center"/>
              <w:rPr>
                <w:rFonts w:hint="eastAsia" w:ascii="宋体" w:hAnsi="宋体"/>
                <w:color w:val="000000"/>
                <w:szCs w:val="21"/>
              </w:rPr>
            </w:pPr>
            <w:r>
              <w:rPr>
                <w:rFonts w:hint="eastAsia" w:ascii="宋体" w:hAnsi="宋体"/>
                <w:color w:val="000000"/>
                <w:szCs w:val="21"/>
              </w:rPr>
              <w:t>权重系数</w:t>
            </w:r>
          </w:p>
        </w:tc>
        <w:tc>
          <w:tcPr>
            <w:tcW w:w="2292" w:type="dxa"/>
            <w:vAlign w:val="center"/>
          </w:tcPr>
          <w:p>
            <w:pPr>
              <w:spacing w:line="360" w:lineRule="auto"/>
              <w:jc w:val="center"/>
              <w:rPr>
                <w:rFonts w:hint="eastAsia" w:ascii="宋体" w:hAnsi="宋体"/>
                <w:color w:val="000000"/>
                <w:szCs w:val="21"/>
              </w:rPr>
            </w:pPr>
            <w:r>
              <w:rPr>
                <w:rFonts w:hint="eastAsia" w:ascii="宋体" w:hAnsi="宋体"/>
                <w:color w:val="000000"/>
                <w:szCs w:val="21"/>
              </w:rPr>
              <w:t>名称</w:t>
            </w:r>
          </w:p>
        </w:tc>
        <w:tc>
          <w:tcPr>
            <w:tcW w:w="1319" w:type="dxa"/>
            <w:vAlign w:val="center"/>
          </w:tcPr>
          <w:p>
            <w:pPr>
              <w:spacing w:line="360" w:lineRule="auto"/>
              <w:jc w:val="center"/>
              <w:rPr>
                <w:rFonts w:hint="eastAsia" w:ascii="宋体" w:hAnsi="宋体"/>
                <w:color w:val="000000"/>
                <w:szCs w:val="21"/>
              </w:rPr>
            </w:pPr>
            <w:r>
              <w:rPr>
                <w:rFonts w:hint="eastAsia" w:ascii="宋体" w:hAnsi="宋体"/>
                <w:color w:val="000000"/>
                <w:szCs w:val="21"/>
              </w:rPr>
              <w:t>权重系数</w:t>
            </w:r>
          </w:p>
        </w:tc>
        <w:tc>
          <w:tcPr>
            <w:tcW w:w="2187" w:type="dxa"/>
            <w:vMerge w:val="continue"/>
            <w:vAlign w:val="center"/>
          </w:tcPr>
          <w:p>
            <w:pPr>
              <w:spacing w:line="360" w:lineRule="auto"/>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90" w:type="dxa"/>
            <w:vMerge w:val="restart"/>
            <w:vAlign w:val="center"/>
          </w:tcPr>
          <w:p>
            <w:pPr>
              <w:spacing w:line="360" w:lineRule="auto"/>
              <w:jc w:val="center"/>
              <w:rPr>
                <w:rFonts w:hint="eastAsia" w:ascii="宋体" w:hAnsi="宋体"/>
                <w:color w:val="000000"/>
                <w:szCs w:val="21"/>
              </w:rPr>
            </w:pPr>
            <w:r>
              <w:rPr>
                <w:rFonts w:hint="eastAsia" w:ascii="宋体" w:hAnsi="宋体"/>
                <w:color w:val="000000"/>
                <w:szCs w:val="21"/>
              </w:rPr>
              <w:t>生产场所</w:t>
            </w:r>
          </w:p>
        </w:tc>
        <w:tc>
          <w:tcPr>
            <w:tcW w:w="1355" w:type="dxa"/>
            <w:vMerge w:val="restart"/>
            <w:vAlign w:val="center"/>
          </w:tcPr>
          <w:p>
            <w:pPr>
              <w:spacing w:line="360" w:lineRule="auto"/>
              <w:jc w:val="center"/>
              <w:rPr>
                <w:rFonts w:hint="eastAsia" w:ascii="宋体" w:hAnsi="宋体"/>
                <w:color w:val="000000"/>
                <w:szCs w:val="21"/>
              </w:rPr>
            </w:pPr>
            <w:r>
              <w:rPr>
                <w:rFonts w:hint="eastAsia" w:ascii="宋体" w:hAnsi="宋体"/>
                <w:color w:val="000000"/>
                <w:szCs w:val="21"/>
              </w:rPr>
              <w:t>0.3</w:t>
            </w:r>
          </w:p>
        </w:tc>
        <w:tc>
          <w:tcPr>
            <w:tcW w:w="2292"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硫酸钡生产装置</w:t>
            </w:r>
          </w:p>
        </w:tc>
        <w:tc>
          <w:tcPr>
            <w:tcW w:w="1319" w:type="dxa"/>
            <w:vAlign w:val="center"/>
          </w:tcPr>
          <w:p>
            <w:pPr>
              <w:spacing w:line="360" w:lineRule="auto"/>
              <w:jc w:val="center"/>
              <w:rPr>
                <w:rFonts w:hint="eastAsia" w:ascii="宋体" w:hAnsi="宋体"/>
                <w:color w:val="000000"/>
                <w:szCs w:val="21"/>
              </w:rPr>
            </w:pPr>
            <w:r>
              <w:rPr>
                <w:rFonts w:hint="eastAsia" w:ascii="宋体" w:hAnsi="宋体"/>
                <w:color w:val="000000"/>
                <w:szCs w:val="21"/>
              </w:rPr>
              <w:t>0.4</w:t>
            </w:r>
          </w:p>
        </w:tc>
        <w:tc>
          <w:tcPr>
            <w:tcW w:w="2187" w:type="dxa"/>
            <w:vAlign w:val="center"/>
          </w:tcPr>
          <w:p>
            <w:pPr>
              <w:spacing w:line="360" w:lineRule="auto"/>
              <w:jc w:val="center"/>
              <w:rPr>
                <w:rFonts w:hint="eastAsia" w:ascii="宋体" w:hAnsi="宋体"/>
                <w:color w:val="000000"/>
                <w:szCs w:val="21"/>
              </w:rPr>
            </w:pPr>
            <w:r>
              <w:rPr>
                <w:rFonts w:hint="eastAsia" w:ascii="宋体" w:hAnsi="宋体"/>
                <w:color w:val="000000"/>
                <w:szCs w:val="21"/>
              </w:rPr>
              <w:t>一般危险源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1390" w:type="dxa"/>
            <w:vMerge w:val="continue"/>
            <w:vAlign w:val="center"/>
          </w:tcPr>
          <w:p>
            <w:pPr>
              <w:spacing w:line="360" w:lineRule="auto"/>
              <w:jc w:val="center"/>
              <w:rPr>
                <w:rFonts w:hint="eastAsia" w:ascii="宋体" w:hAnsi="宋体"/>
                <w:color w:val="000000"/>
                <w:szCs w:val="21"/>
              </w:rPr>
            </w:pPr>
          </w:p>
        </w:tc>
        <w:tc>
          <w:tcPr>
            <w:tcW w:w="1355" w:type="dxa"/>
            <w:vMerge w:val="continue"/>
            <w:vAlign w:val="center"/>
          </w:tcPr>
          <w:p>
            <w:pPr>
              <w:spacing w:line="360" w:lineRule="auto"/>
              <w:jc w:val="center"/>
              <w:rPr>
                <w:rFonts w:hint="eastAsia" w:ascii="宋体" w:hAnsi="宋体"/>
                <w:color w:val="000000"/>
                <w:szCs w:val="21"/>
              </w:rPr>
            </w:pPr>
          </w:p>
        </w:tc>
        <w:tc>
          <w:tcPr>
            <w:tcW w:w="2292"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硫酸装置</w:t>
            </w:r>
          </w:p>
        </w:tc>
        <w:tc>
          <w:tcPr>
            <w:tcW w:w="1319" w:type="dxa"/>
            <w:vAlign w:val="center"/>
          </w:tcPr>
          <w:p>
            <w:pPr>
              <w:spacing w:line="360" w:lineRule="auto"/>
              <w:jc w:val="center"/>
              <w:rPr>
                <w:rFonts w:hint="eastAsia" w:ascii="宋体" w:hAnsi="宋体"/>
                <w:color w:val="000000"/>
                <w:szCs w:val="21"/>
              </w:rPr>
            </w:pPr>
            <w:r>
              <w:rPr>
                <w:rFonts w:hint="eastAsia" w:ascii="宋体" w:hAnsi="宋体"/>
                <w:color w:val="000000"/>
                <w:szCs w:val="21"/>
              </w:rPr>
              <w:t>0.2</w:t>
            </w:r>
          </w:p>
        </w:tc>
        <w:tc>
          <w:tcPr>
            <w:tcW w:w="2187" w:type="dxa"/>
            <w:vAlign w:val="top"/>
          </w:tcPr>
          <w:p>
            <w:pPr>
              <w:jc w:val="center"/>
              <w:rPr>
                <w:color w:val="000000"/>
              </w:rPr>
            </w:pPr>
            <w:r>
              <w:rPr>
                <w:rFonts w:hint="eastAsia" w:ascii="宋体" w:hAnsi="宋体"/>
                <w:color w:val="000000"/>
                <w:szCs w:val="21"/>
              </w:rPr>
              <w:t>一般危险源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1390" w:type="dxa"/>
            <w:vMerge w:val="continue"/>
            <w:vAlign w:val="center"/>
          </w:tcPr>
          <w:p>
            <w:pPr>
              <w:spacing w:line="360" w:lineRule="auto"/>
              <w:jc w:val="center"/>
              <w:rPr>
                <w:rFonts w:hint="eastAsia" w:ascii="宋体" w:hAnsi="宋体"/>
                <w:color w:val="000000"/>
                <w:szCs w:val="21"/>
              </w:rPr>
            </w:pPr>
          </w:p>
        </w:tc>
        <w:tc>
          <w:tcPr>
            <w:tcW w:w="1355" w:type="dxa"/>
            <w:vMerge w:val="continue"/>
            <w:vAlign w:val="center"/>
          </w:tcPr>
          <w:p>
            <w:pPr>
              <w:spacing w:line="360" w:lineRule="auto"/>
              <w:jc w:val="center"/>
              <w:rPr>
                <w:rFonts w:hint="eastAsia" w:ascii="宋体" w:hAnsi="宋体"/>
                <w:color w:val="000000"/>
                <w:szCs w:val="21"/>
              </w:rPr>
            </w:pPr>
          </w:p>
        </w:tc>
        <w:tc>
          <w:tcPr>
            <w:tcW w:w="2292" w:type="dxa"/>
            <w:vAlign w:val="center"/>
          </w:tcPr>
          <w:p>
            <w:pPr>
              <w:spacing w:line="360" w:lineRule="auto"/>
              <w:jc w:val="center"/>
              <w:rPr>
                <w:rFonts w:hint="eastAsia" w:ascii="宋体" w:hAnsi="宋体"/>
                <w:color w:val="000000"/>
                <w:szCs w:val="21"/>
              </w:rPr>
            </w:pPr>
            <w:r>
              <w:rPr>
                <w:rFonts w:hint="eastAsia" w:ascii="宋体" w:hAnsi="宋体"/>
                <w:color w:val="000000"/>
                <w:szCs w:val="21"/>
              </w:rPr>
              <w:t>硫化钠生产装置</w:t>
            </w:r>
          </w:p>
        </w:tc>
        <w:tc>
          <w:tcPr>
            <w:tcW w:w="1319" w:type="dxa"/>
            <w:vAlign w:val="center"/>
          </w:tcPr>
          <w:p>
            <w:pPr>
              <w:spacing w:line="360" w:lineRule="auto"/>
              <w:jc w:val="center"/>
              <w:rPr>
                <w:rFonts w:hint="eastAsia" w:ascii="宋体" w:hAnsi="宋体"/>
                <w:color w:val="000000"/>
                <w:szCs w:val="21"/>
              </w:rPr>
            </w:pPr>
            <w:r>
              <w:rPr>
                <w:rFonts w:hint="eastAsia" w:ascii="宋体" w:hAnsi="宋体"/>
                <w:color w:val="000000"/>
                <w:szCs w:val="21"/>
              </w:rPr>
              <w:t>0.4</w:t>
            </w:r>
          </w:p>
        </w:tc>
        <w:tc>
          <w:tcPr>
            <w:tcW w:w="2187" w:type="dxa"/>
            <w:vAlign w:val="top"/>
          </w:tcPr>
          <w:p>
            <w:pPr>
              <w:jc w:val="center"/>
              <w:rPr>
                <w:color w:val="000000"/>
              </w:rPr>
            </w:pPr>
            <w:r>
              <w:rPr>
                <w:rFonts w:hint="eastAsia" w:ascii="宋体" w:hAnsi="宋体"/>
                <w:color w:val="000000"/>
                <w:szCs w:val="21"/>
              </w:rPr>
              <w:t>一般危险源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90" w:type="dxa"/>
            <w:vMerge w:val="restart"/>
            <w:vAlign w:val="center"/>
          </w:tcPr>
          <w:p>
            <w:pPr>
              <w:spacing w:line="360" w:lineRule="auto"/>
              <w:jc w:val="center"/>
              <w:rPr>
                <w:rFonts w:hint="eastAsia" w:ascii="宋体" w:hAnsi="宋体"/>
                <w:color w:val="000000"/>
                <w:szCs w:val="21"/>
              </w:rPr>
            </w:pPr>
            <w:r>
              <w:rPr>
                <w:rFonts w:hint="eastAsia" w:ascii="宋体" w:hAnsi="宋体"/>
                <w:color w:val="000000"/>
                <w:szCs w:val="21"/>
              </w:rPr>
              <w:t>贮运系统</w:t>
            </w:r>
          </w:p>
        </w:tc>
        <w:tc>
          <w:tcPr>
            <w:tcW w:w="1355" w:type="dxa"/>
            <w:vMerge w:val="restart"/>
            <w:vAlign w:val="center"/>
          </w:tcPr>
          <w:p>
            <w:pPr>
              <w:spacing w:line="360" w:lineRule="auto"/>
              <w:jc w:val="center"/>
              <w:rPr>
                <w:rFonts w:hint="eastAsia" w:ascii="宋体" w:hAnsi="宋体"/>
                <w:color w:val="000000"/>
                <w:szCs w:val="21"/>
              </w:rPr>
            </w:pPr>
            <w:r>
              <w:rPr>
                <w:rFonts w:hint="eastAsia" w:ascii="宋体" w:hAnsi="宋体"/>
                <w:color w:val="000000"/>
                <w:szCs w:val="21"/>
              </w:rPr>
              <w:t>0.35</w:t>
            </w:r>
          </w:p>
        </w:tc>
        <w:tc>
          <w:tcPr>
            <w:tcW w:w="2292" w:type="dxa"/>
            <w:vAlign w:val="center"/>
          </w:tcPr>
          <w:p>
            <w:pPr>
              <w:spacing w:line="360" w:lineRule="auto"/>
              <w:jc w:val="center"/>
              <w:rPr>
                <w:rFonts w:hint="eastAsia" w:ascii="宋体" w:hAnsi="宋体"/>
                <w:color w:val="000000"/>
                <w:szCs w:val="21"/>
              </w:rPr>
            </w:pPr>
            <w:r>
              <w:rPr>
                <w:rFonts w:hint="eastAsia" w:ascii="宋体" w:hAnsi="宋体"/>
                <w:color w:val="000000"/>
                <w:szCs w:val="21"/>
              </w:rPr>
              <w:t>储罐</w:t>
            </w:r>
          </w:p>
        </w:tc>
        <w:tc>
          <w:tcPr>
            <w:tcW w:w="1319" w:type="dxa"/>
            <w:vAlign w:val="center"/>
          </w:tcPr>
          <w:p>
            <w:pPr>
              <w:spacing w:line="360" w:lineRule="auto"/>
              <w:jc w:val="center"/>
              <w:rPr>
                <w:rFonts w:hint="eastAsia" w:ascii="宋体" w:hAnsi="宋体"/>
                <w:color w:val="000000"/>
                <w:szCs w:val="21"/>
              </w:rPr>
            </w:pPr>
            <w:r>
              <w:rPr>
                <w:rFonts w:hint="eastAsia" w:ascii="宋体" w:hAnsi="宋体"/>
                <w:color w:val="000000"/>
                <w:szCs w:val="21"/>
              </w:rPr>
              <w:t>0.8</w:t>
            </w:r>
          </w:p>
        </w:tc>
        <w:tc>
          <w:tcPr>
            <w:tcW w:w="2187" w:type="dxa"/>
            <w:vAlign w:val="center"/>
          </w:tcPr>
          <w:p>
            <w:pPr>
              <w:spacing w:line="360" w:lineRule="auto"/>
              <w:jc w:val="center"/>
              <w:rPr>
                <w:rFonts w:hint="eastAsia" w:ascii="宋体" w:hAnsi="宋体"/>
                <w:color w:val="000000"/>
                <w:szCs w:val="21"/>
              </w:rPr>
            </w:pPr>
            <w:r>
              <w:rPr>
                <w:rFonts w:hint="eastAsia" w:ascii="宋体" w:hAnsi="宋体"/>
                <w:color w:val="000000"/>
                <w:szCs w:val="21"/>
              </w:rPr>
              <w:t>主要危险源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1390" w:type="dxa"/>
            <w:vMerge w:val="continue"/>
            <w:vAlign w:val="center"/>
          </w:tcPr>
          <w:p>
            <w:pPr>
              <w:spacing w:line="360" w:lineRule="auto"/>
              <w:jc w:val="center"/>
              <w:rPr>
                <w:rFonts w:hint="eastAsia" w:ascii="宋体" w:hAnsi="宋体"/>
                <w:color w:val="000000"/>
                <w:szCs w:val="21"/>
              </w:rPr>
            </w:pPr>
          </w:p>
        </w:tc>
        <w:tc>
          <w:tcPr>
            <w:tcW w:w="1355" w:type="dxa"/>
            <w:vMerge w:val="continue"/>
            <w:vAlign w:val="center"/>
          </w:tcPr>
          <w:p>
            <w:pPr>
              <w:spacing w:line="360" w:lineRule="auto"/>
              <w:jc w:val="center"/>
              <w:rPr>
                <w:rFonts w:hint="eastAsia" w:ascii="宋体" w:hAnsi="宋体"/>
                <w:color w:val="000000"/>
                <w:szCs w:val="21"/>
              </w:rPr>
            </w:pPr>
          </w:p>
        </w:tc>
        <w:tc>
          <w:tcPr>
            <w:tcW w:w="2292" w:type="dxa"/>
            <w:vAlign w:val="center"/>
          </w:tcPr>
          <w:p>
            <w:pPr>
              <w:spacing w:line="360" w:lineRule="auto"/>
              <w:jc w:val="center"/>
              <w:rPr>
                <w:rFonts w:hint="eastAsia" w:ascii="宋体" w:hAnsi="宋体"/>
                <w:color w:val="000000"/>
                <w:szCs w:val="21"/>
              </w:rPr>
            </w:pPr>
            <w:r>
              <w:rPr>
                <w:rFonts w:hint="eastAsia" w:ascii="宋体" w:hAnsi="宋体"/>
                <w:color w:val="000000"/>
                <w:szCs w:val="21"/>
              </w:rPr>
              <w:t>库房</w:t>
            </w:r>
          </w:p>
        </w:tc>
        <w:tc>
          <w:tcPr>
            <w:tcW w:w="1319" w:type="dxa"/>
            <w:vAlign w:val="center"/>
          </w:tcPr>
          <w:p>
            <w:pPr>
              <w:spacing w:line="360" w:lineRule="auto"/>
              <w:jc w:val="center"/>
              <w:rPr>
                <w:rFonts w:hint="eastAsia" w:ascii="宋体" w:hAnsi="宋体"/>
                <w:color w:val="000000"/>
                <w:szCs w:val="21"/>
              </w:rPr>
            </w:pPr>
            <w:r>
              <w:rPr>
                <w:rFonts w:hint="eastAsia" w:ascii="宋体" w:hAnsi="宋体"/>
                <w:color w:val="000000"/>
                <w:szCs w:val="21"/>
              </w:rPr>
              <w:t>0.2</w:t>
            </w:r>
          </w:p>
        </w:tc>
        <w:tc>
          <w:tcPr>
            <w:tcW w:w="2187" w:type="dxa"/>
            <w:vAlign w:val="top"/>
          </w:tcPr>
          <w:p>
            <w:pPr>
              <w:jc w:val="center"/>
              <w:rPr>
                <w:color w:val="000000"/>
              </w:rPr>
            </w:pPr>
            <w:r>
              <w:rPr>
                <w:rFonts w:hint="eastAsia" w:ascii="宋体" w:hAnsi="宋体"/>
                <w:color w:val="000000"/>
                <w:szCs w:val="21"/>
              </w:rPr>
              <w:t>一般危险源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390" w:type="dxa"/>
            <w:vAlign w:val="center"/>
          </w:tcPr>
          <w:p>
            <w:pPr>
              <w:spacing w:line="360" w:lineRule="auto"/>
              <w:jc w:val="center"/>
              <w:rPr>
                <w:rFonts w:hint="eastAsia" w:ascii="宋体" w:hAnsi="宋体"/>
                <w:color w:val="000000"/>
                <w:szCs w:val="21"/>
              </w:rPr>
            </w:pPr>
            <w:r>
              <w:rPr>
                <w:rFonts w:hint="eastAsia" w:ascii="宋体" w:hAnsi="宋体"/>
                <w:color w:val="000000"/>
                <w:szCs w:val="21"/>
              </w:rPr>
              <w:t>公共工程</w:t>
            </w:r>
          </w:p>
        </w:tc>
        <w:tc>
          <w:tcPr>
            <w:tcW w:w="1355" w:type="dxa"/>
            <w:vAlign w:val="center"/>
          </w:tcPr>
          <w:p>
            <w:pPr>
              <w:spacing w:line="360" w:lineRule="auto"/>
              <w:jc w:val="center"/>
              <w:rPr>
                <w:rFonts w:hint="eastAsia" w:ascii="宋体" w:hAnsi="宋体"/>
                <w:color w:val="000000"/>
                <w:szCs w:val="21"/>
              </w:rPr>
            </w:pPr>
            <w:r>
              <w:rPr>
                <w:rFonts w:hint="eastAsia" w:ascii="宋体" w:hAnsi="宋体"/>
                <w:color w:val="000000"/>
                <w:szCs w:val="21"/>
              </w:rPr>
              <w:t>0.1</w:t>
            </w:r>
          </w:p>
        </w:tc>
        <w:tc>
          <w:tcPr>
            <w:tcW w:w="2292" w:type="dxa"/>
            <w:vAlign w:val="center"/>
          </w:tcPr>
          <w:p>
            <w:pPr>
              <w:spacing w:line="360" w:lineRule="auto"/>
              <w:jc w:val="center"/>
              <w:rPr>
                <w:rFonts w:hint="eastAsia" w:ascii="宋体" w:hAnsi="宋体"/>
                <w:color w:val="000000"/>
                <w:szCs w:val="21"/>
              </w:rPr>
            </w:pPr>
          </w:p>
        </w:tc>
        <w:tc>
          <w:tcPr>
            <w:tcW w:w="1319" w:type="dxa"/>
            <w:vAlign w:val="center"/>
          </w:tcPr>
          <w:p>
            <w:pPr>
              <w:spacing w:line="360" w:lineRule="auto"/>
              <w:jc w:val="center"/>
              <w:rPr>
                <w:rFonts w:hint="eastAsia" w:ascii="宋体" w:hAnsi="宋体"/>
                <w:color w:val="000000"/>
                <w:szCs w:val="21"/>
              </w:rPr>
            </w:pPr>
          </w:p>
        </w:tc>
        <w:tc>
          <w:tcPr>
            <w:tcW w:w="2187" w:type="dxa"/>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390" w:type="dxa"/>
            <w:vAlign w:val="center"/>
          </w:tcPr>
          <w:p>
            <w:pPr>
              <w:spacing w:line="360" w:lineRule="auto"/>
              <w:jc w:val="center"/>
              <w:rPr>
                <w:rFonts w:hint="eastAsia" w:ascii="宋体" w:hAnsi="宋体"/>
                <w:color w:val="000000"/>
                <w:szCs w:val="21"/>
              </w:rPr>
            </w:pPr>
            <w:r>
              <w:rPr>
                <w:rFonts w:hint="eastAsia" w:ascii="宋体" w:hAnsi="宋体"/>
                <w:color w:val="000000"/>
                <w:szCs w:val="21"/>
              </w:rPr>
              <w:t>辅助设施</w:t>
            </w:r>
          </w:p>
        </w:tc>
        <w:tc>
          <w:tcPr>
            <w:tcW w:w="1355" w:type="dxa"/>
            <w:vAlign w:val="center"/>
          </w:tcPr>
          <w:p>
            <w:pPr>
              <w:spacing w:line="360" w:lineRule="auto"/>
              <w:jc w:val="center"/>
              <w:rPr>
                <w:rFonts w:hint="eastAsia" w:ascii="宋体" w:hAnsi="宋体"/>
                <w:color w:val="000000"/>
                <w:szCs w:val="21"/>
              </w:rPr>
            </w:pPr>
            <w:r>
              <w:rPr>
                <w:rFonts w:hint="eastAsia" w:ascii="宋体" w:hAnsi="宋体"/>
                <w:color w:val="000000"/>
                <w:szCs w:val="21"/>
              </w:rPr>
              <w:t>0.05</w:t>
            </w:r>
          </w:p>
        </w:tc>
        <w:tc>
          <w:tcPr>
            <w:tcW w:w="2292" w:type="dxa"/>
            <w:vAlign w:val="center"/>
          </w:tcPr>
          <w:p>
            <w:pPr>
              <w:spacing w:line="360" w:lineRule="auto"/>
              <w:jc w:val="center"/>
              <w:rPr>
                <w:rFonts w:hint="eastAsia" w:ascii="宋体" w:hAnsi="宋体"/>
                <w:color w:val="000000"/>
                <w:szCs w:val="21"/>
              </w:rPr>
            </w:pPr>
          </w:p>
        </w:tc>
        <w:tc>
          <w:tcPr>
            <w:tcW w:w="1319" w:type="dxa"/>
            <w:vAlign w:val="center"/>
          </w:tcPr>
          <w:p>
            <w:pPr>
              <w:spacing w:line="360" w:lineRule="auto"/>
              <w:jc w:val="center"/>
              <w:rPr>
                <w:rFonts w:hint="eastAsia" w:ascii="宋体" w:hAnsi="宋体"/>
                <w:color w:val="000000"/>
                <w:szCs w:val="21"/>
              </w:rPr>
            </w:pPr>
          </w:p>
        </w:tc>
        <w:tc>
          <w:tcPr>
            <w:tcW w:w="2187" w:type="dxa"/>
            <w:vAlign w:val="top"/>
          </w:tcPr>
          <w:p>
            <w:pPr>
              <w:jc w:val="center"/>
              <w:rPr>
                <w:rFonts w:hint="eastAsia" w:ascii="宋体" w:hAnsi="宋体"/>
                <w:color w:val="000000"/>
                <w:szCs w:val="21"/>
              </w:rPr>
            </w:pPr>
          </w:p>
        </w:tc>
      </w:tr>
    </w:tbl>
    <w:p>
      <w:pPr>
        <w:spacing w:before="100" w:beforeAutospacing="1"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）重大危险源识别</w:t>
      </w:r>
    </w:p>
    <w:p>
      <w:pPr>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硫酸钡生产车间浓硫酸储量共计</w:t>
      </w:r>
      <w:r>
        <w:rPr>
          <w:rFonts w:hint="eastAsia" w:ascii="仿宋_GB2312" w:hAnsi="仿宋_GB2312" w:eastAsia="仿宋_GB2312" w:cs="仿宋_GB2312"/>
          <w:color w:val="auto"/>
          <w:sz w:val="28"/>
          <w:szCs w:val="28"/>
          <w:lang w:val="en-US" w:eastAsia="zh-CN"/>
        </w:rPr>
        <w:t>4吨，不足临界量100吨；硫化氢主要产生于特殊客户需要的硫酸钡生产酸洗过程中，其存量很小，不足以达到硫化氢生产场所临界量2吨；二氧化硫主要产生于锅炉燃烧和转炉燃烧过程中，正常生产中二氧化硫全部经过环保设施处理后达标排放，未达到二氧化硫生产场所临界量40吨；硫化钠产品库存满足其规定的临界量标准。</w:t>
      </w:r>
      <w:r>
        <w:rPr>
          <w:rFonts w:hint="eastAsia" w:ascii="仿宋_GB2312" w:hAnsi="仿宋_GB2312" w:eastAsia="仿宋_GB2312" w:cs="仿宋_GB2312"/>
          <w:color w:val="auto"/>
          <w:sz w:val="28"/>
          <w:szCs w:val="28"/>
          <w:lang w:eastAsia="zh-CN"/>
        </w:rPr>
        <w:t>对照</w:t>
      </w:r>
      <w:r>
        <w:rPr>
          <w:rFonts w:hint="eastAsia" w:ascii="仿宋_GB2312" w:hAnsi="仿宋_GB2312" w:eastAsia="仿宋_GB2312" w:cs="仿宋_GB2312"/>
          <w:color w:val="auto"/>
          <w:sz w:val="28"/>
          <w:szCs w:val="28"/>
        </w:rPr>
        <w:t>《建设项目环境风险评价技术导则》（HJ/T169-2004）规定，并结合《危险化学品重大危险源辨识》（GB18218-2009）</w:t>
      </w:r>
      <w:r>
        <w:rPr>
          <w:rFonts w:hint="eastAsia" w:ascii="仿宋_GB2312" w:hAnsi="仿宋_GB2312" w:eastAsia="仿宋_GB2312" w:cs="仿宋_GB2312"/>
          <w:color w:val="auto"/>
          <w:sz w:val="28"/>
          <w:szCs w:val="28"/>
          <w:lang w:eastAsia="zh-CN"/>
        </w:rPr>
        <w:t>有关</w:t>
      </w:r>
      <w:r>
        <w:rPr>
          <w:rFonts w:hint="eastAsia" w:ascii="仿宋_GB2312" w:hAnsi="仿宋_GB2312" w:eastAsia="仿宋_GB2312" w:cs="仿宋_GB2312"/>
          <w:color w:val="auto"/>
          <w:sz w:val="28"/>
          <w:szCs w:val="28"/>
        </w:rPr>
        <w:t>要求，本项目无重大危险源。</w:t>
      </w:r>
    </w:p>
    <w:p>
      <w:pPr>
        <w:pStyle w:val="2"/>
        <w:numPr>
          <w:ilvl w:val="0"/>
          <w:numId w:val="0"/>
        </w:numPr>
        <w:spacing w:before="0" w:after="0"/>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lang w:val="en-US" w:eastAsia="zh-CN"/>
        </w:rPr>
        <w:t xml:space="preserve">    </w:t>
      </w:r>
      <w:bookmarkStart w:id="259" w:name="_Toc32549"/>
      <w:bookmarkStart w:id="260" w:name="_Toc5934"/>
      <w:bookmarkStart w:id="261" w:name="_Toc23173"/>
      <w:r>
        <w:rPr>
          <w:rFonts w:hint="eastAsia" w:ascii="仿宋_GB2312" w:hAnsi="仿宋_GB2312" w:eastAsia="仿宋_GB2312" w:cs="仿宋_GB2312"/>
          <w:b w:val="0"/>
          <w:bCs/>
          <w:color w:val="000000"/>
          <w:lang w:eastAsia="zh-CN"/>
        </w:rPr>
        <w:t>（</w:t>
      </w:r>
      <w:r>
        <w:rPr>
          <w:rFonts w:hint="eastAsia" w:ascii="仿宋_GB2312" w:hAnsi="仿宋_GB2312" w:eastAsia="仿宋_GB2312" w:cs="仿宋_GB2312"/>
          <w:b w:val="0"/>
          <w:bCs/>
          <w:color w:val="000000"/>
          <w:lang w:val="en-US" w:eastAsia="zh-CN"/>
        </w:rPr>
        <w:t>5</w:t>
      </w:r>
      <w:r>
        <w:rPr>
          <w:rFonts w:hint="eastAsia" w:ascii="仿宋_GB2312" w:hAnsi="仿宋_GB2312" w:eastAsia="仿宋_GB2312" w:cs="仿宋_GB2312"/>
          <w:b w:val="0"/>
          <w:bCs/>
          <w:color w:val="000000"/>
          <w:lang w:eastAsia="zh-CN"/>
        </w:rPr>
        <w:t>）</w:t>
      </w:r>
      <w:r>
        <w:rPr>
          <w:rFonts w:hint="eastAsia" w:ascii="仿宋_GB2312" w:hAnsi="仿宋_GB2312" w:eastAsia="仿宋_GB2312" w:cs="仿宋_GB2312"/>
          <w:b w:val="0"/>
          <w:bCs/>
          <w:color w:val="000000"/>
        </w:rPr>
        <w:t>潜在</w:t>
      </w:r>
      <w:r>
        <w:rPr>
          <w:rFonts w:hint="eastAsia" w:ascii="仿宋_GB2312" w:hAnsi="仿宋_GB2312" w:eastAsia="仿宋_GB2312" w:cs="仿宋_GB2312"/>
          <w:b w:val="0"/>
          <w:bCs/>
          <w:color w:val="000000"/>
          <w:lang w:eastAsia="zh-CN"/>
        </w:rPr>
        <w:t>风险</w:t>
      </w:r>
      <w:r>
        <w:rPr>
          <w:rFonts w:hint="eastAsia" w:ascii="仿宋_GB2312" w:hAnsi="仿宋_GB2312" w:eastAsia="仿宋_GB2312" w:cs="仿宋_GB2312"/>
          <w:b w:val="0"/>
          <w:bCs/>
          <w:color w:val="000000"/>
        </w:rPr>
        <w:t>分析</w:t>
      </w:r>
      <w:bookmarkEnd w:id="259"/>
      <w:bookmarkEnd w:id="260"/>
      <w:bookmarkEnd w:id="261"/>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根据</w:t>
      </w:r>
      <w:r>
        <w:rPr>
          <w:rFonts w:hint="eastAsia" w:ascii="仿宋_GB2312" w:hAnsi="仿宋_GB2312" w:eastAsia="仿宋_GB2312" w:cs="仿宋_GB2312"/>
          <w:color w:val="000000"/>
          <w:sz w:val="28"/>
          <w:szCs w:val="28"/>
          <w:lang w:eastAsia="zh-CN"/>
        </w:rPr>
        <w:t>我公司</w:t>
      </w:r>
      <w:r>
        <w:rPr>
          <w:rFonts w:hint="eastAsia" w:ascii="仿宋_GB2312" w:hAnsi="仿宋_GB2312" w:eastAsia="仿宋_GB2312" w:cs="仿宋_GB2312"/>
          <w:color w:val="000000"/>
          <w:sz w:val="28"/>
          <w:szCs w:val="28"/>
        </w:rPr>
        <w:t>工艺特征及物料储运情况，分析其存在的潜在风险。</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宋体" w:hAnsi="宋体" w:eastAsia="宋体" w:cs="宋体"/>
          <w:color w:val="000000"/>
          <w:sz w:val="28"/>
          <w:szCs w:val="28"/>
        </w:rPr>
        <w:t>①</w:t>
      </w:r>
      <w:r>
        <w:rPr>
          <w:rFonts w:hint="eastAsia" w:ascii="仿宋_GB2312" w:hAnsi="仿宋_GB2312" w:eastAsia="仿宋_GB2312" w:cs="仿宋_GB2312"/>
          <w:color w:val="000000"/>
          <w:sz w:val="28"/>
          <w:szCs w:val="28"/>
        </w:rPr>
        <w:t>生产单元</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除了非正常工况外，潜在的风险事故见表</w:t>
      </w:r>
      <w:r>
        <w:rPr>
          <w:rFonts w:hint="eastAsia" w:ascii="仿宋_GB2312" w:hAnsi="仿宋_GB2312" w:eastAsia="仿宋_GB2312" w:cs="仿宋_GB2312"/>
          <w:color w:val="000000"/>
          <w:sz w:val="28"/>
          <w:szCs w:val="28"/>
          <w:lang w:val="en-US" w:eastAsia="zh-CN"/>
        </w:rPr>
        <w:t>6</w:t>
      </w:r>
      <w:r>
        <w:rPr>
          <w:rFonts w:hint="eastAsia" w:ascii="仿宋_GB2312" w:hAnsi="仿宋_GB2312" w:eastAsia="仿宋_GB2312" w:cs="仿宋_GB2312"/>
          <w:color w:val="000000"/>
          <w:sz w:val="28"/>
          <w:szCs w:val="28"/>
        </w:rPr>
        <w:t>。</w:t>
      </w:r>
    </w:p>
    <w:p>
      <w:pPr>
        <w:autoSpaceDE w:val="0"/>
        <w:autoSpaceDN w:val="0"/>
        <w:spacing w:beforeLines="25"/>
        <w:jc w:val="center"/>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表</w:t>
      </w:r>
      <w:r>
        <w:rPr>
          <w:rFonts w:hint="eastAsia" w:ascii="仿宋_GB2312" w:hAnsi="仿宋_GB2312" w:eastAsia="仿宋_GB2312" w:cs="仿宋_GB2312"/>
          <w:b/>
          <w:color w:val="000000"/>
          <w:sz w:val="28"/>
          <w:szCs w:val="28"/>
          <w:lang w:val="en-US" w:eastAsia="zh-CN"/>
        </w:rPr>
        <w:t>5</w:t>
      </w:r>
      <w:r>
        <w:rPr>
          <w:rFonts w:hint="eastAsia" w:ascii="仿宋_GB2312" w:hAnsi="仿宋_GB2312" w:eastAsia="仿宋_GB2312" w:cs="仿宋_GB2312"/>
          <w:b/>
          <w:color w:val="000000"/>
          <w:sz w:val="28"/>
          <w:szCs w:val="28"/>
        </w:rPr>
        <w:t xml:space="preserve">  生产中潜在危险因素分析</w:t>
      </w:r>
    </w:p>
    <w:tbl>
      <w:tblPr>
        <w:tblStyle w:val="26"/>
        <w:tblW w:w="861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6"/>
        <w:gridCol w:w="1260"/>
        <w:gridCol w:w="3780"/>
        <w:gridCol w:w="28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jc w:val="center"/>
        </w:trPr>
        <w:tc>
          <w:tcPr>
            <w:tcW w:w="736" w:type="dxa"/>
            <w:vAlign w:val="center"/>
          </w:tcPr>
          <w:p>
            <w:pPr>
              <w:jc w:val="center"/>
              <w:rPr>
                <w:rFonts w:ascii="宋体" w:hAnsi="宋体"/>
                <w:color w:val="000000"/>
                <w:szCs w:val="21"/>
              </w:rPr>
            </w:pPr>
            <w:r>
              <w:rPr>
                <w:rFonts w:ascii="宋体" w:hAnsi="宋体"/>
                <w:color w:val="000000"/>
                <w:szCs w:val="21"/>
              </w:rPr>
              <w:t>序号</w:t>
            </w:r>
          </w:p>
        </w:tc>
        <w:tc>
          <w:tcPr>
            <w:tcW w:w="1260" w:type="dxa"/>
            <w:vAlign w:val="center"/>
          </w:tcPr>
          <w:p>
            <w:pPr>
              <w:jc w:val="center"/>
              <w:rPr>
                <w:rFonts w:hint="eastAsia" w:ascii="宋体" w:hAnsi="宋体"/>
                <w:color w:val="000000"/>
                <w:szCs w:val="21"/>
              </w:rPr>
            </w:pPr>
            <w:r>
              <w:rPr>
                <w:rFonts w:hint="eastAsia" w:ascii="宋体" w:hAnsi="宋体"/>
                <w:color w:val="000000"/>
                <w:szCs w:val="21"/>
              </w:rPr>
              <w:t>潜在风险</w:t>
            </w:r>
          </w:p>
        </w:tc>
        <w:tc>
          <w:tcPr>
            <w:tcW w:w="3780" w:type="dxa"/>
            <w:vAlign w:val="center"/>
          </w:tcPr>
          <w:p>
            <w:pPr>
              <w:jc w:val="center"/>
              <w:rPr>
                <w:rFonts w:ascii="宋体" w:hAnsi="宋体"/>
                <w:color w:val="000000"/>
                <w:szCs w:val="21"/>
              </w:rPr>
            </w:pPr>
            <w:r>
              <w:rPr>
                <w:rFonts w:hint="eastAsia" w:ascii="宋体" w:hAnsi="宋体"/>
                <w:color w:val="000000"/>
                <w:szCs w:val="21"/>
              </w:rPr>
              <w:t>发生</w:t>
            </w:r>
            <w:r>
              <w:rPr>
                <w:rFonts w:ascii="宋体" w:hAnsi="宋体"/>
                <w:color w:val="000000"/>
                <w:szCs w:val="21"/>
              </w:rPr>
              <w:t>原因</w:t>
            </w:r>
          </w:p>
        </w:tc>
        <w:tc>
          <w:tcPr>
            <w:tcW w:w="2835" w:type="dxa"/>
            <w:vAlign w:val="center"/>
          </w:tcPr>
          <w:p>
            <w:pPr>
              <w:jc w:val="center"/>
              <w:rPr>
                <w:rFonts w:hint="eastAsia" w:ascii="宋体" w:hAnsi="宋体"/>
                <w:color w:val="000000"/>
                <w:szCs w:val="21"/>
              </w:rPr>
            </w:pPr>
            <w:r>
              <w:rPr>
                <w:rFonts w:hint="eastAsia" w:ascii="宋体" w:hAnsi="宋体"/>
                <w:color w:val="000000"/>
                <w:szCs w:val="21"/>
              </w:rPr>
              <w:t>易发场所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83" w:hRule="atLeast"/>
          <w:jc w:val="center"/>
        </w:trPr>
        <w:tc>
          <w:tcPr>
            <w:tcW w:w="736" w:type="dxa"/>
            <w:vAlign w:val="center"/>
          </w:tcPr>
          <w:p>
            <w:pPr>
              <w:jc w:val="center"/>
              <w:rPr>
                <w:rFonts w:ascii="宋体" w:hAnsi="宋体"/>
                <w:color w:val="000000"/>
                <w:szCs w:val="21"/>
              </w:rPr>
            </w:pPr>
            <w:r>
              <w:rPr>
                <w:rFonts w:ascii="宋体" w:hAnsi="宋体"/>
                <w:color w:val="000000"/>
                <w:szCs w:val="21"/>
              </w:rPr>
              <w:t>1</w:t>
            </w:r>
          </w:p>
        </w:tc>
        <w:tc>
          <w:tcPr>
            <w:tcW w:w="1260" w:type="dxa"/>
            <w:vAlign w:val="center"/>
          </w:tcPr>
          <w:p>
            <w:pPr>
              <w:jc w:val="center"/>
              <w:rPr>
                <w:rFonts w:hint="eastAsia" w:ascii="宋体" w:hAnsi="宋体"/>
                <w:color w:val="000000"/>
                <w:szCs w:val="21"/>
              </w:rPr>
            </w:pPr>
            <w:r>
              <w:rPr>
                <w:rFonts w:hint="eastAsia" w:ascii="宋体" w:hAnsi="宋体"/>
                <w:color w:val="000000"/>
                <w:szCs w:val="21"/>
              </w:rPr>
              <w:t>泄漏</w:t>
            </w:r>
          </w:p>
        </w:tc>
        <w:tc>
          <w:tcPr>
            <w:tcW w:w="3780" w:type="dxa"/>
            <w:vAlign w:val="center"/>
          </w:tcPr>
          <w:p>
            <w:pPr>
              <w:rPr>
                <w:rFonts w:hint="eastAsia" w:ascii="宋体" w:hAnsi="宋体"/>
                <w:color w:val="000000"/>
                <w:szCs w:val="21"/>
              </w:rPr>
            </w:pPr>
            <w:r>
              <w:rPr>
                <w:rFonts w:hint="eastAsia" w:ascii="宋体" w:hAnsi="宋体"/>
                <w:color w:val="000000"/>
                <w:szCs w:val="21"/>
              </w:rPr>
              <w:t>罐体破裂，设备、管道及阀门受到腐蚀、堵塞或损坏，设计及设备存在缺陷</w:t>
            </w:r>
          </w:p>
        </w:tc>
        <w:tc>
          <w:tcPr>
            <w:tcW w:w="2835" w:type="dxa"/>
            <w:vAlign w:val="center"/>
          </w:tcPr>
          <w:p>
            <w:pPr>
              <w:rPr>
                <w:rFonts w:hint="eastAsia" w:ascii="宋体" w:hAnsi="宋体"/>
                <w:color w:val="000000"/>
                <w:szCs w:val="21"/>
              </w:rPr>
            </w:pPr>
            <w:r>
              <w:rPr>
                <w:rFonts w:hint="eastAsia" w:ascii="宋体" w:hAnsi="宋体"/>
                <w:color w:val="000000"/>
                <w:szCs w:val="21"/>
              </w:rPr>
              <w:t>计量槽、输送管道、阀门、输送泵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2" w:hRule="atLeast"/>
          <w:jc w:val="center"/>
        </w:trPr>
        <w:tc>
          <w:tcPr>
            <w:tcW w:w="736" w:type="dxa"/>
            <w:vAlign w:val="center"/>
          </w:tcPr>
          <w:p>
            <w:pPr>
              <w:jc w:val="center"/>
              <w:rPr>
                <w:rFonts w:ascii="宋体" w:hAnsi="宋体"/>
                <w:color w:val="000000"/>
                <w:szCs w:val="21"/>
              </w:rPr>
            </w:pPr>
            <w:r>
              <w:rPr>
                <w:rFonts w:ascii="宋体" w:hAnsi="宋体"/>
                <w:color w:val="000000"/>
                <w:szCs w:val="21"/>
              </w:rPr>
              <w:t>2</w:t>
            </w:r>
          </w:p>
        </w:tc>
        <w:tc>
          <w:tcPr>
            <w:tcW w:w="1260" w:type="dxa"/>
            <w:vAlign w:val="center"/>
          </w:tcPr>
          <w:p>
            <w:pPr>
              <w:jc w:val="center"/>
              <w:rPr>
                <w:rFonts w:hint="eastAsia" w:ascii="宋体" w:hAnsi="宋体"/>
                <w:color w:val="000000"/>
                <w:szCs w:val="21"/>
              </w:rPr>
            </w:pPr>
            <w:r>
              <w:rPr>
                <w:rFonts w:hint="eastAsia" w:ascii="宋体" w:hAnsi="宋体"/>
                <w:color w:val="000000"/>
                <w:szCs w:val="21"/>
              </w:rPr>
              <w:t>爆炸</w:t>
            </w:r>
          </w:p>
        </w:tc>
        <w:tc>
          <w:tcPr>
            <w:tcW w:w="3780" w:type="dxa"/>
            <w:vAlign w:val="center"/>
          </w:tcPr>
          <w:p>
            <w:pPr>
              <w:jc w:val="center"/>
              <w:rPr>
                <w:rFonts w:hint="eastAsia" w:ascii="宋体" w:hAnsi="宋体"/>
                <w:color w:val="000000"/>
                <w:szCs w:val="21"/>
              </w:rPr>
            </w:pPr>
            <w:r>
              <w:rPr>
                <w:rFonts w:hint="eastAsia" w:ascii="宋体" w:hAnsi="宋体"/>
                <w:color w:val="000000"/>
                <w:szCs w:val="21"/>
              </w:rPr>
              <w:t>硫化钠受撞击或急速受热</w:t>
            </w:r>
          </w:p>
        </w:tc>
        <w:tc>
          <w:tcPr>
            <w:tcW w:w="2835" w:type="dxa"/>
            <w:vAlign w:val="center"/>
          </w:tcPr>
          <w:p>
            <w:pPr>
              <w:jc w:val="center"/>
              <w:rPr>
                <w:rFonts w:hint="eastAsia" w:ascii="宋体" w:hAnsi="宋体"/>
                <w:color w:val="000000"/>
                <w:szCs w:val="21"/>
              </w:rPr>
            </w:pPr>
            <w:r>
              <w:rPr>
                <w:rFonts w:hint="eastAsia" w:ascii="宋体" w:hAnsi="宋体"/>
                <w:color w:val="000000"/>
                <w:szCs w:val="21"/>
              </w:rPr>
              <w:t>硫化钠生产车间及储存库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90" w:hRule="atLeast"/>
          <w:jc w:val="center"/>
        </w:trPr>
        <w:tc>
          <w:tcPr>
            <w:tcW w:w="736" w:type="dxa"/>
            <w:vAlign w:val="center"/>
          </w:tcPr>
          <w:p>
            <w:pPr>
              <w:jc w:val="center"/>
              <w:rPr>
                <w:rFonts w:ascii="宋体" w:hAnsi="宋体"/>
                <w:color w:val="000000"/>
                <w:szCs w:val="21"/>
              </w:rPr>
            </w:pPr>
            <w:r>
              <w:rPr>
                <w:rFonts w:ascii="宋体" w:hAnsi="宋体"/>
                <w:color w:val="000000"/>
                <w:szCs w:val="21"/>
              </w:rPr>
              <w:t>2</w:t>
            </w:r>
          </w:p>
        </w:tc>
        <w:tc>
          <w:tcPr>
            <w:tcW w:w="1260" w:type="dxa"/>
            <w:vAlign w:val="center"/>
          </w:tcPr>
          <w:p>
            <w:pPr>
              <w:jc w:val="center"/>
              <w:rPr>
                <w:rFonts w:hint="eastAsia" w:ascii="宋体" w:hAnsi="宋体"/>
                <w:color w:val="000000"/>
                <w:szCs w:val="21"/>
              </w:rPr>
            </w:pPr>
            <w:r>
              <w:rPr>
                <w:rFonts w:hint="eastAsia" w:ascii="宋体" w:hAnsi="宋体"/>
                <w:color w:val="000000"/>
                <w:szCs w:val="21"/>
              </w:rPr>
              <w:t>中毒</w:t>
            </w:r>
          </w:p>
        </w:tc>
        <w:tc>
          <w:tcPr>
            <w:tcW w:w="3780" w:type="dxa"/>
            <w:vAlign w:val="center"/>
          </w:tcPr>
          <w:p>
            <w:pPr>
              <w:jc w:val="center"/>
              <w:rPr>
                <w:rFonts w:hint="eastAsia" w:ascii="宋体" w:hAnsi="宋体"/>
                <w:color w:val="000000"/>
                <w:szCs w:val="21"/>
              </w:rPr>
            </w:pPr>
            <w:r>
              <w:rPr>
                <w:rFonts w:hint="eastAsia" w:ascii="宋体" w:hAnsi="宋体"/>
                <w:color w:val="000000"/>
                <w:szCs w:val="21"/>
              </w:rPr>
              <w:t>过量吸入硫化氢</w:t>
            </w:r>
          </w:p>
        </w:tc>
        <w:tc>
          <w:tcPr>
            <w:tcW w:w="2835" w:type="dxa"/>
            <w:vAlign w:val="center"/>
          </w:tcPr>
          <w:p>
            <w:pPr>
              <w:jc w:val="center"/>
              <w:rPr>
                <w:rFonts w:hint="eastAsia" w:ascii="宋体" w:hAnsi="宋体"/>
                <w:color w:val="000000"/>
                <w:szCs w:val="21"/>
              </w:rPr>
            </w:pPr>
            <w:r>
              <w:rPr>
                <w:rFonts w:hint="eastAsia" w:ascii="宋体" w:hAnsi="宋体"/>
                <w:color w:val="000000"/>
                <w:szCs w:val="21"/>
              </w:rPr>
              <w:t>硫化钡生产车间、设备检修</w:t>
            </w:r>
          </w:p>
        </w:tc>
      </w:tr>
    </w:tbl>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②贮存单元</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eastAsia="zh-CN"/>
        </w:rPr>
        <w:t>原料</w:t>
      </w:r>
      <w:r>
        <w:rPr>
          <w:rFonts w:hint="eastAsia" w:ascii="仿宋_GB2312" w:hAnsi="仿宋_GB2312" w:eastAsia="仿宋_GB2312" w:cs="仿宋_GB2312"/>
          <w:color w:val="000000"/>
          <w:sz w:val="28"/>
          <w:szCs w:val="28"/>
        </w:rPr>
        <w:t>设有储罐及原料库。硫化钠、硫化钡等液体通过管道输入储罐中，其它生产原料存放在堆场或库内。由于储罐与阀门</w:t>
      </w:r>
      <w:r>
        <w:rPr>
          <w:rFonts w:hint="eastAsia" w:ascii="仿宋_GB2312" w:hAnsi="仿宋_GB2312" w:eastAsia="仿宋_GB2312" w:cs="仿宋_GB2312"/>
          <w:color w:val="000000"/>
          <w:sz w:val="28"/>
          <w:szCs w:val="28"/>
          <w:lang w:eastAsia="zh-CN"/>
        </w:rPr>
        <w:t>间</w:t>
      </w:r>
      <w:r>
        <w:rPr>
          <w:rFonts w:hint="eastAsia" w:ascii="仿宋_GB2312" w:hAnsi="仿宋_GB2312" w:eastAsia="仿宋_GB2312" w:cs="仿宋_GB2312"/>
          <w:color w:val="000000"/>
          <w:sz w:val="28"/>
          <w:szCs w:val="28"/>
        </w:rPr>
        <w:t>焊接不牢或受到腐蚀等原因，存在潜在的风险。</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③环保设施</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eastAsia="zh-CN"/>
        </w:rPr>
        <w:t>生产过程中因突然停电，或其它突发事件导致环保设施无法正常运行，期间转炉和锅炉产生的颗粒物、二氧化硫和氮氧化物超过标准排放对周边环境造成一定影响，存在一定环境风险</w:t>
      </w:r>
      <w:r>
        <w:rPr>
          <w:rFonts w:hint="eastAsia" w:ascii="仿宋_GB2312" w:hAnsi="仿宋_GB2312" w:eastAsia="仿宋_GB2312" w:cs="仿宋_GB2312"/>
          <w:color w:val="000000"/>
          <w:sz w:val="28"/>
          <w:szCs w:val="28"/>
        </w:rPr>
        <w:t>。</w:t>
      </w:r>
    </w:p>
    <w:p>
      <w:pPr>
        <w:pStyle w:val="12"/>
        <w:spacing w:line="560" w:lineRule="exact"/>
        <w:rPr>
          <w:rFonts w:ascii="Times New Roman" w:hAnsi="Times New Roman" w:eastAsia="仿宋_GB2312" w:cs="Times New Roman"/>
          <w:b/>
          <w:bCs w:val="0"/>
          <w:sz w:val="28"/>
          <w:szCs w:val="28"/>
        </w:rPr>
      </w:pPr>
      <w:bookmarkStart w:id="262" w:name="_Toc402516920"/>
      <w:bookmarkStart w:id="263" w:name="_Toc22403"/>
      <w:bookmarkStart w:id="264" w:name="_Toc10661"/>
      <w:bookmarkStart w:id="265" w:name="_Toc27798"/>
      <w:r>
        <w:rPr>
          <w:rFonts w:ascii="Times New Roman" w:hAnsi="Times New Roman" w:eastAsia="仿宋_GB2312" w:cs="Times New Roman"/>
          <w:bCs w:val="0"/>
          <w:sz w:val="28"/>
          <w:szCs w:val="28"/>
        </w:rPr>
        <w:t>4.2</w:t>
      </w:r>
      <w:r>
        <w:rPr>
          <w:rFonts w:ascii="Times New Roman" w:hAnsi="Times New Roman" w:eastAsia="仿宋_GB2312" w:cs="Times New Roman"/>
          <w:b/>
          <w:bCs w:val="0"/>
          <w:sz w:val="28"/>
          <w:szCs w:val="28"/>
        </w:rPr>
        <w:t>环境风险源分析</w:t>
      </w:r>
      <w:bookmarkEnd w:id="262"/>
      <w:bookmarkEnd w:id="263"/>
      <w:bookmarkEnd w:id="264"/>
      <w:bookmarkEnd w:id="265"/>
    </w:p>
    <w:p>
      <w:pPr>
        <w:pStyle w:val="12"/>
        <w:spacing w:line="560" w:lineRule="exact"/>
        <w:rPr>
          <w:rFonts w:ascii="Times New Roman" w:hAnsi="Times New Roman" w:eastAsia="仿宋_GB2312" w:cs="Times New Roman"/>
          <w:b/>
          <w:bCs w:val="0"/>
          <w:sz w:val="28"/>
          <w:szCs w:val="28"/>
        </w:rPr>
      </w:pPr>
      <w:bookmarkStart w:id="266" w:name="_Toc402516921"/>
      <w:bookmarkStart w:id="267" w:name="_Toc14885"/>
      <w:bookmarkStart w:id="268" w:name="_Toc7806"/>
      <w:bookmarkStart w:id="269" w:name="_Toc30490"/>
      <w:r>
        <w:rPr>
          <w:rFonts w:ascii="Times New Roman" w:hAnsi="Times New Roman" w:eastAsia="仿宋_GB2312" w:cs="Times New Roman"/>
          <w:bCs w:val="0"/>
          <w:sz w:val="28"/>
          <w:szCs w:val="28"/>
        </w:rPr>
        <w:t>4.2.1</w:t>
      </w:r>
      <w:r>
        <w:rPr>
          <w:rFonts w:hint="eastAsia" w:ascii="Times New Roman" w:hAnsi="Times New Roman" w:eastAsia="仿宋_GB2312" w:cs="Times New Roman"/>
          <w:b/>
          <w:bCs w:val="0"/>
          <w:sz w:val="28"/>
          <w:szCs w:val="28"/>
        </w:rPr>
        <w:t>大气</w:t>
      </w:r>
      <w:r>
        <w:rPr>
          <w:rFonts w:ascii="Times New Roman" w:hAnsi="Times New Roman" w:eastAsia="仿宋_GB2312" w:cs="Times New Roman"/>
          <w:b/>
          <w:bCs w:val="0"/>
          <w:sz w:val="28"/>
          <w:szCs w:val="28"/>
        </w:rPr>
        <w:t>环境影响分析</w:t>
      </w:r>
      <w:bookmarkEnd w:id="266"/>
      <w:bookmarkEnd w:id="267"/>
      <w:bookmarkEnd w:id="268"/>
      <w:bookmarkEnd w:id="269"/>
    </w:p>
    <w:p>
      <w:pPr>
        <w:spacing w:line="360" w:lineRule="auto"/>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①硫化钠风险单元：由于硫化钠属于</w:t>
      </w:r>
      <w:r>
        <w:rPr>
          <w:rFonts w:hint="eastAsia" w:ascii="仿宋_GB2312" w:hAnsi="仿宋_GB2312" w:eastAsia="仿宋_GB2312" w:cs="仿宋_GB2312"/>
          <w:color w:val="auto"/>
          <w:sz w:val="28"/>
          <w:szCs w:val="28"/>
          <w:lang w:eastAsia="zh-CN"/>
        </w:rPr>
        <w:t>碱性腐蚀品，其粉末具有一定的燃库烧性，具强腐蚀性、刺激性，可致人体灼伤。当成品存储库房硫化钠泄漏，并引起燃烧时，会产生有毒有害气体硫化氢和二氧化硫，对</w:t>
      </w:r>
      <w:r>
        <w:rPr>
          <w:rFonts w:hint="eastAsia" w:ascii="仿宋_GB2312" w:hAnsi="仿宋_GB2312" w:eastAsia="仿宋_GB2312" w:cs="仿宋_GB2312"/>
          <w:color w:val="auto"/>
          <w:sz w:val="28"/>
          <w:szCs w:val="28"/>
          <w:lang w:val="en-US" w:eastAsia="zh-CN"/>
        </w:rPr>
        <w:t>人体和环境有很大影响。</w:t>
      </w:r>
    </w:p>
    <w:p>
      <w:pPr>
        <w:spacing w:line="560" w:lineRule="exact"/>
        <w:ind w:firstLine="630" w:firstLineChars="225"/>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②硫酸钡风险单元：当硫酸储罐泄漏恰好遇到含有硫化钠的液体，两者反应可以生成具有毒性的硫化氢气体，气体蔓延至外部大气，严重者可使人中毒，且污染大气环境。</w:t>
      </w:r>
    </w:p>
    <w:p>
      <w:pPr>
        <w:spacing w:line="560" w:lineRule="exact"/>
        <w:ind w:firstLine="630" w:firstLineChars="225"/>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③硝钡精制单元：当因紧急停电、大型设备事故或其它不可抗力导致紧急停产时，烟囱的烟气未经过处理直接排出。其二氧化硫、氮氧化物和颗粒物会超标排放，影响周边环境。</w:t>
      </w:r>
    </w:p>
    <w:p>
      <w:pPr>
        <w:pStyle w:val="12"/>
        <w:spacing w:line="560" w:lineRule="exact"/>
        <w:rPr>
          <w:rFonts w:ascii="Times New Roman" w:hAnsi="Times New Roman" w:eastAsia="仿宋_GB2312" w:cs="Times New Roman"/>
          <w:bCs w:val="0"/>
          <w:sz w:val="28"/>
          <w:szCs w:val="28"/>
        </w:rPr>
      </w:pPr>
      <w:bookmarkStart w:id="270" w:name="_Toc14140"/>
      <w:bookmarkStart w:id="271" w:name="_Toc15785"/>
      <w:bookmarkStart w:id="272" w:name="_Toc13977"/>
      <w:r>
        <w:rPr>
          <w:rFonts w:ascii="Times New Roman" w:hAnsi="Times New Roman" w:eastAsia="仿宋_GB2312" w:cs="Times New Roman"/>
          <w:bCs w:val="0"/>
          <w:sz w:val="28"/>
          <w:szCs w:val="28"/>
        </w:rPr>
        <w:t>4.2.2</w:t>
      </w:r>
      <w:r>
        <w:rPr>
          <w:rFonts w:ascii="Times New Roman" w:hAnsi="Times New Roman" w:eastAsia="仿宋_GB2312" w:cs="Times New Roman"/>
          <w:b/>
          <w:bCs w:val="0"/>
          <w:sz w:val="28"/>
          <w:szCs w:val="28"/>
        </w:rPr>
        <w:t>水环境影响分析</w:t>
      </w:r>
      <w:bookmarkEnd w:id="270"/>
      <w:bookmarkEnd w:id="271"/>
      <w:bookmarkEnd w:id="272"/>
    </w:p>
    <w:p>
      <w:pPr>
        <w:spacing w:line="560" w:lineRule="exact"/>
        <w:ind w:firstLine="630" w:firstLineChars="225"/>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①硫化钠风险单元：硫化钠稀碱液储罐因不可抗拒因素导致罐体破损，收集装置无法将全部稀硫化钠溶液收集时，大量碱液集中泄漏瞬间高过围堰时，部分稀硫化钠溶液有通过雨水管网进入市政管网污染石川河。</w:t>
      </w:r>
    </w:p>
    <w:p>
      <w:pPr>
        <w:spacing w:line="560" w:lineRule="exact"/>
        <w:ind w:firstLine="630" w:firstLineChars="225"/>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当库存硫化钠产品泄漏，突发燃烧或爆炸时，应急救援使用消防管网进行稀释、收集时，部分含有硫化钠的消防水可能延雨水排放管道进入市政管网，引起污染。</w:t>
      </w:r>
    </w:p>
    <w:p>
      <w:pPr>
        <w:spacing w:line="560" w:lineRule="exact"/>
        <w:ind w:firstLine="630" w:firstLineChars="225"/>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②硫酸钡风险单元：两个硫酸钡浓硫酸储罐当因外因致使罐体破裂导致硫酸泄漏，恰遇硫化钠溶液泄漏，两种液体接触发生反应产生具有毒性的硫化氢气体污染大气环境。</w:t>
      </w:r>
    </w:p>
    <w:p>
      <w:pPr>
        <w:spacing w:line="560" w:lineRule="exact"/>
        <w:ind w:firstLine="630" w:firstLineChars="225"/>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③硝钡精制风险单元硫化钡溶液储罐泄漏，现有收集装置和应急装置无法及时予以收集时，部分硫化钡溶液将沿市政管网流入石川河造成环境污染。</w:t>
      </w:r>
    </w:p>
    <w:p>
      <w:pPr>
        <w:spacing w:line="560" w:lineRule="exact"/>
        <w:ind w:firstLine="630" w:firstLineChars="22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对此环境风险采取以下措施进行防范：</w:t>
      </w:r>
    </w:p>
    <w:p>
      <w:pPr>
        <w:spacing w:line="560" w:lineRule="exact"/>
        <w:ind w:firstLine="630" w:firstLineChars="22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（1）加强对员工工艺操作规程的培训和环保意识教育；</w:t>
      </w:r>
    </w:p>
    <w:p>
      <w:pPr>
        <w:spacing w:line="560" w:lineRule="exact"/>
        <w:ind w:firstLine="630" w:firstLineChars="22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（2）加强对设备的例行检修和巡查工作；</w:t>
      </w:r>
    </w:p>
    <w:p>
      <w:pPr>
        <w:spacing w:line="560" w:lineRule="exact"/>
        <w:ind w:firstLine="630" w:firstLineChars="22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（3）如因意外情况造成烟气污染事件发生，将采取紧急停车的方法，阻止事件的发生和蔓延。</w:t>
      </w:r>
    </w:p>
    <w:p>
      <w:pPr>
        <w:spacing w:line="360" w:lineRule="auto"/>
        <w:rPr>
          <w:rFonts w:hint="eastAsia" w:ascii="仿宋_GB2312" w:hAnsi="仿宋_GB2312" w:eastAsia="仿宋_GB2312" w:cs="仿宋_GB2312"/>
          <w:b/>
          <w:bCs/>
          <w:color w:val="000000"/>
          <w:sz w:val="28"/>
          <w:szCs w:val="28"/>
        </w:rPr>
      </w:pPr>
      <w:bookmarkStart w:id="273" w:name="_Toc402516925"/>
      <w:r>
        <w:rPr>
          <w:rFonts w:hint="eastAsia" w:ascii="仿宋_GB2312" w:hAnsi="仿宋_GB2312" w:eastAsia="仿宋_GB2312" w:cs="仿宋_GB2312"/>
          <w:b/>
          <w:bCs/>
          <w:color w:val="000000"/>
          <w:sz w:val="28"/>
          <w:szCs w:val="28"/>
        </w:rPr>
        <w:t>4.3最大可信事件及后果分析</w:t>
      </w:r>
      <w:bookmarkEnd w:id="273"/>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目前公司碱水储存主要采用储罐储存，由硫酸钡车间化合罐和低铁碱车间</w:t>
      </w:r>
      <w:r>
        <w:rPr>
          <w:rFonts w:hint="eastAsia" w:ascii="仿宋_GB2312" w:hAnsi="仿宋_GB2312" w:eastAsia="仿宋_GB2312" w:cs="仿宋_GB2312"/>
          <w:color w:val="000000"/>
          <w:sz w:val="28"/>
          <w:szCs w:val="28"/>
          <w:lang w:val="en-US" w:eastAsia="zh-CN"/>
        </w:rPr>
        <w:t>9</w:t>
      </w:r>
      <w:r>
        <w:rPr>
          <w:rFonts w:hint="eastAsia" w:ascii="仿宋_GB2312" w:hAnsi="仿宋_GB2312" w:eastAsia="仿宋_GB2312" w:cs="仿宋_GB2312"/>
          <w:color w:val="000000"/>
          <w:sz w:val="28"/>
          <w:szCs w:val="28"/>
        </w:rPr>
        <w:t>个碱水储罐组成，其中低铁车间备用一个空罐做事故应急罐备用（体积为3</w:t>
      </w:r>
      <w:r>
        <w:rPr>
          <w:rFonts w:hint="eastAsia" w:ascii="仿宋_GB2312" w:hAnsi="仿宋_GB2312" w:eastAsia="仿宋_GB2312" w:cs="仿宋_GB2312"/>
          <w:color w:val="000000"/>
          <w:sz w:val="28"/>
          <w:szCs w:val="28"/>
          <w:lang w:val="en-US" w:eastAsia="zh-CN"/>
        </w:rPr>
        <w:t>0</w:t>
      </w:r>
      <w:r>
        <w:rPr>
          <w:rFonts w:hint="eastAsia" w:ascii="仿宋_GB2312" w:hAnsi="仿宋_GB2312" w:eastAsia="仿宋_GB2312" w:cs="仿宋_GB2312"/>
          <w:color w:val="000000"/>
          <w:sz w:val="28"/>
          <w:szCs w:val="28"/>
        </w:rPr>
        <w:t>0m</w:t>
      </w:r>
      <w:r>
        <w:rPr>
          <w:rFonts w:hint="eastAsia" w:ascii="仿宋_GB2312" w:hAnsi="仿宋_GB2312" w:eastAsia="仿宋_GB2312" w:cs="仿宋_GB2312"/>
          <w:color w:val="000000"/>
          <w:sz w:val="28"/>
          <w:szCs w:val="28"/>
          <w:vertAlign w:val="superscript"/>
        </w:rPr>
        <w:t>3</w:t>
      </w:r>
      <w:r>
        <w:rPr>
          <w:rFonts w:hint="eastAsia" w:ascii="仿宋_GB2312" w:hAnsi="仿宋_GB2312" w:eastAsia="仿宋_GB2312" w:cs="仿宋_GB2312"/>
          <w:color w:val="000000"/>
          <w:sz w:val="28"/>
          <w:szCs w:val="28"/>
        </w:rPr>
        <w:t>）。</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硫酸钡车间化合罐为产生碱水的反应罐，每班最大产生碱水量为</w:t>
      </w:r>
      <w:r>
        <w:rPr>
          <w:rFonts w:hint="eastAsia" w:ascii="仿宋_GB2312" w:hAnsi="仿宋_GB2312" w:eastAsia="仿宋_GB2312" w:cs="仿宋_GB2312"/>
          <w:color w:val="000000"/>
          <w:sz w:val="28"/>
          <w:szCs w:val="28"/>
          <w:lang w:val="en-US" w:eastAsia="zh-CN"/>
        </w:rPr>
        <w:t>900</w:t>
      </w:r>
      <w:r>
        <w:rPr>
          <w:rFonts w:hint="eastAsia" w:ascii="仿宋_GB2312" w:hAnsi="仿宋_GB2312" w:eastAsia="仿宋_GB2312" w:cs="仿宋_GB2312"/>
          <w:color w:val="000000"/>
          <w:sz w:val="28"/>
          <w:szCs w:val="28"/>
        </w:rPr>
        <w:t>m</w:t>
      </w:r>
      <w:r>
        <w:rPr>
          <w:rFonts w:hint="eastAsia" w:ascii="仿宋_GB2312" w:hAnsi="仿宋_GB2312" w:eastAsia="仿宋_GB2312" w:cs="仿宋_GB2312"/>
          <w:color w:val="000000"/>
          <w:sz w:val="28"/>
          <w:szCs w:val="28"/>
          <w:vertAlign w:val="superscript"/>
        </w:rPr>
        <w:t>3</w:t>
      </w:r>
      <w:r>
        <w:rPr>
          <w:rFonts w:hint="eastAsia" w:ascii="仿宋_GB2312" w:hAnsi="仿宋_GB2312" w:eastAsia="仿宋_GB2312" w:cs="仿宋_GB2312"/>
          <w:color w:val="000000"/>
          <w:sz w:val="28"/>
          <w:szCs w:val="28"/>
        </w:rPr>
        <w:t>，假设因设备故障导致部分或全部碱水泄漏时，首先通过化合罐下面的水渠排入地罐，车间自行回收至其他化合罐，当本车间不能完全回收时，将启用低铁车间备用事故罐进行回收处理。</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低铁碱车间碱水罐最大储存量</w:t>
      </w:r>
      <w:r>
        <w:rPr>
          <w:rFonts w:hint="eastAsia" w:ascii="仿宋_GB2312" w:hAnsi="仿宋_GB2312" w:eastAsia="仿宋_GB2312" w:cs="仿宋_GB2312"/>
          <w:color w:val="000000"/>
          <w:sz w:val="28"/>
          <w:szCs w:val="28"/>
          <w:lang w:val="en-US" w:eastAsia="zh-CN"/>
        </w:rPr>
        <w:t>2000</w:t>
      </w:r>
      <w:r>
        <w:rPr>
          <w:rFonts w:hint="eastAsia" w:ascii="仿宋_GB2312" w:hAnsi="仿宋_GB2312" w:eastAsia="仿宋_GB2312" w:cs="仿宋_GB2312"/>
          <w:color w:val="000000"/>
          <w:sz w:val="28"/>
          <w:szCs w:val="28"/>
        </w:rPr>
        <w:t>m</w:t>
      </w:r>
      <w:r>
        <w:rPr>
          <w:rFonts w:hint="eastAsia" w:ascii="仿宋_GB2312" w:hAnsi="仿宋_GB2312" w:eastAsia="仿宋_GB2312" w:cs="仿宋_GB2312"/>
          <w:color w:val="000000"/>
          <w:sz w:val="28"/>
          <w:szCs w:val="28"/>
          <w:vertAlign w:val="superscript"/>
        </w:rPr>
        <w:t>3</w:t>
      </w:r>
      <w:r>
        <w:rPr>
          <w:rFonts w:hint="eastAsia" w:ascii="仿宋_GB2312" w:hAnsi="仿宋_GB2312" w:eastAsia="仿宋_GB2312" w:cs="仿宋_GB2312"/>
          <w:color w:val="000000"/>
          <w:sz w:val="28"/>
          <w:szCs w:val="28"/>
        </w:rPr>
        <w:t>，主要储存化合罐产生的碱水，用于下道工序蒸发使用，如因设备故障导致部分泄漏时，可通过车间自身设置的围堰或事故应急罐进行回收处理；如因设备故障导致全部泄漏时，首先通过车间事故应急罐和蒸发器进行回收处理一部分，剩余部分通过排水渠排入公司环保事故应急池系统（应急系统体积为500m</w:t>
      </w:r>
      <w:r>
        <w:rPr>
          <w:rFonts w:hint="eastAsia" w:ascii="仿宋_GB2312" w:hAnsi="仿宋_GB2312" w:eastAsia="仿宋_GB2312" w:cs="仿宋_GB2312"/>
          <w:color w:val="000000"/>
          <w:sz w:val="28"/>
          <w:szCs w:val="28"/>
          <w:vertAlign w:val="superscript"/>
        </w:rPr>
        <w:t>3</w:t>
      </w:r>
      <w:r>
        <w:rPr>
          <w:rFonts w:hint="eastAsia" w:ascii="仿宋_GB2312" w:hAnsi="仿宋_GB2312" w:eastAsia="仿宋_GB2312" w:cs="仿宋_GB2312"/>
          <w:color w:val="000000"/>
          <w:sz w:val="28"/>
          <w:szCs w:val="28"/>
        </w:rPr>
        <w:t>）；第三种最大风险是可能因回收不及时，导致有小部分碱水溢流出时，可采取以下措施：（1）及时用自来水进行稀释处理，（2）在碱水中加入无毒的铁盐（如</w:t>
      </w:r>
      <w:r>
        <w:rPr>
          <w:rFonts w:hint="eastAsia" w:ascii="仿宋_GB2312" w:hAnsi="仿宋_GB2312" w:eastAsia="仿宋_GB2312" w:cs="仿宋_GB2312"/>
          <w:color w:val="000000"/>
          <w:sz w:val="28"/>
          <w:szCs w:val="28"/>
        </w:rPr>
        <w:fldChar w:fldCharType="begin"/>
      </w:r>
      <w:r>
        <w:rPr>
          <w:rFonts w:hint="eastAsia" w:ascii="仿宋_GB2312" w:hAnsi="仿宋_GB2312" w:eastAsia="仿宋_GB2312" w:cs="仿宋_GB2312"/>
          <w:color w:val="000000"/>
          <w:sz w:val="28"/>
          <w:szCs w:val="28"/>
        </w:rPr>
        <w:instrText xml:space="preserve"> HYPERLINK "http://baike.baidu.com/view/19824.htm" \t "_blank" </w:instrText>
      </w:r>
      <w:r>
        <w:rPr>
          <w:rFonts w:hint="eastAsia" w:ascii="仿宋_GB2312" w:hAnsi="仿宋_GB2312" w:eastAsia="仿宋_GB2312" w:cs="仿宋_GB2312"/>
          <w:color w:val="000000"/>
          <w:sz w:val="28"/>
          <w:szCs w:val="28"/>
        </w:rPr>
        <w:fldChar w:fldCharType="separate"/>
      </w:r>
      <w:r>
        <w:rPr>
          <w:rFonts w:hint="eastAsia" w:ascii="仿宋_GB2312" w:hAnsi="仿宋_GB2312" w:eastAsia="仿宋_GB2312" w:cs="仿宋_GB2312"/>
          <w:color w:val="000000"/>
          <w:sz w:val="28"/>
          <w:szCs w:val="28"/>
        </w:rPr>
        <w:t>硫酸铁</w:t>
      </w:r>
      <w:r>
        <w:rPr>
          <w:rFonts w:hint="eastAsia"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fldChar w:fldCharType="begin"/>
      </w:r>
      <w:r>
        <w:rPr>
          <w:rFonts w:hint="eastAsia" w:ascii="仿宋_GB2312" w:hAnsi="仿宋_GB2312" w:eastAsia="仿宋_GB2312" w:cs="仿宋_GB2312"/>
          <w:color w:val="000000"/>
          <w:sz w:val="28"/>
          <w:szCs w:val="28"/>
        </w:rPr>
        <w:instrText xml:space="preserve"> HYPERLINK "http://baike.baidu.com/view/149521.htm" \t "_blank" </w:instrText>
      </w:r>
      <w:r>
        <w:rPr>
          <w:rFonts w:hint="eastAsia" w:ascii="仿宋_GB2312" w:hAnsi="仿宋_GB2312" w:eastAsia="仿宋_GB2312" w:cs="仿宋_GB2312"/>
          <w:color w:val="000000"/>
          <w:sz w:val="28"/>
          <w:szCs w:val="28"/>
        </w:rPr>
        <w:fldChar w:fldCharType="separate"/>
      </w:r>
      <w:r>
        <w:rPr>
          <w:rFonts w:hint="eastAsia" w:ascii="仿宋_GB2312" w:hAnsi="仿宋_GB2312" w:eastAsia="仿宋_GB2312" w:cs="仿宋_GB2312"/>
          <w:color w:val="000000"/>
          <w:sz w:val="28"/>
          <w:szCs w:val="28"/>
        </w:rPr>
        <w:t>氯化铁</w:t>
      </w:r>
      <w:r>
        <w:rPr>
          <w:rFonts w:hint="eastAsia"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28"/>
          <w:szCs w:val="28"/>
        </w:rPr>
        <w:t>等），经过2小时曝气后，产生了活性</w:t>
      </w:r>
      <w:r>
        <w:rPr>
          <w:rFonts w:hint="eastAsia" w:ascii="仿宋_GB2312" w:hAnsi="仿宋_GB2312" w:eastAsia="仿宋_GB2312" w:cs="仿宋_GB2312"/>
          <w:color w:val="000000"/>
          <w:sz w:val="28"/>
          <w:szCs w:val="28"/>
        </w:rPr>
        <w:fldChar w:fldCharType="begin"/>
      </w:r>
      <w:r>
        <w:rPr>
          <w:rFonts w:hint="eastAsia" w:ascii="仿宋_GB2312" w:hAnsi="仿宋_GB2312" w:eastAsia="仿宋_GB2312" w:cs="仿宋_GB2312"/>
          <w:color w:val="000000"/>
          <w:sz w:val="28"/>
          <w:szCs w:val="28"/>
        </w:rPr>
        <w:instrText xml:space="preserve"> HYPERLINK "http://baike.baidu.com/view/19606.htm" \t "_blank" </w:instrText>
      </w:r>
      <w:r>
        <w:rPr>
          <w:rFonts w:hint="eastAsia" w:ascii="仿宋_GB2312" w:hAnsi="仿宋_GB2312" w:eastAsia="仿宋_GB2312" w:cs="仿宋_GB2312"/>
          <w:color w:val="000000"/>
          <w:sz w:val="28"/>
          <w:szCs w:val="28"/>
        </w:rPr>
        <w:fldChar w:fldCharType="separate"/>
      </w:r>
      <w:r>
        <w:rPr>
          <w:rFonts w:hint="eastAsia" w:ascii="仿宋_GB2312" w:hAnsi="仿宋_GB2312" w:eastAsia="仿宋_GB2312" w:cs="仿宋_GB2312"/>
          <w:color w:val="000000"/>
          <w:sz w:val="28"/>
          <w:szCs w:val="28"/>
        </w:rPr>
        <w:t>氢氧化铁</w:t>
      </w:r>
      <w:r>
        <w:rPr>
          <w:rFonts w:hint="eastAsia"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28"/>
          <w:szCs w:val="28"/>
        </w:rPr>
        <w:t>，可将硫化物以硫化铁沉淀的形式除去。</w:t>
      </w:r>
    </w:p>
    <w:p>
      <w:pPr>
        <w:spacing w:line="360" w:lineRule="auto"/>
        <w:rPr>
          <w:rFonts w:hint="eastAsia" w:ascii="仿宋_GB2312" w:hAnsi="仿宋_GB2312" w:eastAsia="仿宋_GB2312" w:cs="仿宋_GB2312"/>
          <w:b/>
          <w:bCs/>
          <w:color w:val="000000"/>
          <w:sz w:val="28"/>
          <w:szCs w:val="28"/>
          <w:lang w:val="en-US" w:eastAsia="zh-CN"/>
        </w:rPr>
      </w:pPr>
      <w:bookmarkStart w:id="274" w:name="_Toc402516926"/>
      <w:r>
        <w:rPr>
          <w:rFonts w:hint="eastAsia" w:ascii="仿宋_GB2312" w:hAnsi="仿宋_GB2312" w:eastAsia="仿宋_GB2312" w:cs="仿宋_GB2312"/>
          <w:b/>
          <w:bCs/>
          <w:color w:val="000000"/>
          <w:sz w:val="28"/>
          <w:szCs w:val="28"/>
          <w:lang w:val="en-US" w:eastAsia="zh-CN"/>
        </w:rPr>
        <w:t>5．预防与预警</w:t>
      </w:r>
      <w:bookmarkEnd w:id="274"/>
    </w:p>
    <w:p>
      <w:pPr>
        <w:spacing w:line="360" w:lineRule="auto"/>
        <w:rPr>
          <w:rFonts w:hint="eastAsia" w:ascii="仿宋_GB2312" w:hAnsi="仿宋_GB2312" w:eastAsia="仿宋_GB2312" w:cs="仿宋_GB2312"/>
          <w:b/>
          <w:bCs/>
          <w:color w:val="000000"/>
          <w:sz w:val="28"/>
          <w:szCs w:val="28"/>
          <w:lang w:val="en-US" w:eastAsia="zh-CN"/>
        </w:rPr>
      </w:pPr>
      <w:bookmarkStart w:id="275" w:name="_Toc402516927"/>
      <w:r>
        <w:rPr>
          <w:rFonts w:hint="eastAsia" w:ascii="仿宋_GB2312" w:hAnsi="仿宋_GB2312" w:eastAsia="仿宋_GB2312" w:cs="仿宋_GB2312"/>
          <w:b/>
          <w:bCs/>
          <w:color w:val="000000"/>
          <w:sz w:val="28"/>
          <w:szCs w:val="28"/>
          <w:lang w:val="en-US" w:eastAsia="zh-CN"/>
        </w:rPr>
        <w:t>5.1环境风险防范措施</w:t>
      </w:r>
      <w:bookmarkEnd w:id="275"/>
    </w:p>
    <w:p>
      <w:pPr>
        <w:spacing w:line="360" w:lineRule="auto"/>
        <w:ind w:firstLine="560" w:firstLineChars="200"/>
        <w:rPr>
          <w:rFonts w:hint="eastAsia" w:ascii="仿宋_GB2312" w:hAnsi="仿宋_GB2312" w:eastAsia="仿宋_GB2312" w:cs="仿宋_GB2312"/>
          <w:bCs w:val="0"/>
          <w:color w:val="000000"/>
          <w:kern w:val="2"/>
          <w:sz w:val="28"/>
          <w:szCs w:val="28"/>
          <w:lang w:val="en-US" w:eastAsia="zh-CN" w:bidi="ar-SA"/>
        </w:rPr>
      </w:pPr>
      <w:r>
        <w:rPr>
          <w:rFonts w:hint="eastAsia" w:ascii="仿宋_GB2312" w:hAnsi="仿宋_GB2312" w:eastAsia="仿宋_GB2312" w:cs="仿宋_GB2312"/>
          <w:bCs w:val="0"/>
          <w:color w:val="000000"/>
          <w:kern w:val="2"/>
          <w:sz w:val="28"/>
          <w:szCs w:val="28"/>
          <w:lang w:val="en-US" w:eastAsia="zh-CN" w:bidi="ar-SA"/>
        </w:rPr>
        <w:t>预防是防止事件发生的根本措施，因此，公司充分作好防范措施时，加强废水防护三级体系建立。</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（1）一级防护措施</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设置事故空罐：为防止稀碱罐破损，目前公司配置1个事故空罐（体积3</w:t>
      </w:r>
      <w:r>
        <w:rPr>
          <w:rFonts w:hint="eastAsia" w:ascii="仿宋_GB2312" w:hAnsi="仿宋_GB2312" w:eastAsia="仿宋_GB2312" w:cs="仿宋_GB2312"/>
          <w:color w:val="000000"/>
          <w:sz w:val="28"/>
          <w:szCs w:val="28"/>
          <w:lang w:val="en-US" w:eastAsia="zh-CN"/>
        </w:rPr>
        <w:t>8</w:t>
      </w:r>
      <w:r>
        <w:rPr>
          <w:rFonts w:hint="eastAsia" w:ascii="仿宋_GB2312" w:hAnsi="仿宋_GB2312" w:eastAsia="仿宋_GB2312" w:cs="仿宋_GB2312"/>
          <w:color w:val="000000"/>
          <w:sz w:val="28"/>
          <w:szCs w:val="28"/>
        </w:rPr>
        <w:t>0m</w:t>
      </w:r>
      <w:r>
        <w:rPr>
          <w:rFonts w:hint="eastAsia" w:ascii="仿宋_GB2312" w:hAnsi="仿宋_GB2312" w:eastAsia="仿宋_GB2312" w:cs="仿宋_GB2312"/>
          <w:color w:val="000000"/>
          <w:sz w:val="28"/>
          <w:szCs w:val="28"/>
          <w:vertAlign w:val="superscript"/>
        </w:rPr>
        <w:t>3</w:t>
      </w:r>
      <w:r>
        <w:rPr>
          <w:rFonts w:hint="eastAsia" w:ascii="仿宋_GB2312" w:hAnsi="仿宋_GB2312" w:eastAsia="仿宋_GB2312" w:cs="仿宋_GB2312"/>
          <w:color w:val="000000"/>
          <w:sz w:val="28"/>
          <w:szCs w:val="28"/>
        </w:rPr>
        <w:t>）。当发生少量稀碱水泄漏时，可将流出的碱水通过地罐打入到备用空罐中，避免对环境的影响。</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（2）二级防护措施</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设置围堰：在罐区四周设置围堰，并对罐区地面进行硬化处理。</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设置排污闸板：在罐区进入厂区内排水系统管网中设置排污闸板，尤其是在排水系统总排放口设置排污闸板，防止碱水排出污染环境。</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（3）三级防护措施</w:t>
      </w:r>
    </w:p>
    <w:p>
      <w:pPr>
        <w:spacing w:line="360"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设置环保事故应急池系统：在公司内设置环保事故应急池系统，用于回收事件中发生泄漏的稀碱水。</w:t>
      </w:r>
    </w:p>
    <w:p>
      <w:pPr>
        <w:pStyle w:val="12"/>
        <w:spacing w:line="560" w:lineRule="exact"/>
        <w:rPr>
          <w:rFonts w:ascii="Times New Roman" w:hAnsi="Times New Roman" w:eastAsia="仿宋_GB2312" w:cs="Times New Roman"/>
          <w:b/>
          <w:bCs w:val="0"/>
          <w:sz w:val="28"/>
          <w:szCs w:val="28"/>
        </w:rPr>
      </w:pPr>
      <w:bookmarkStart w:id="276" w:name="_Toc402516928"/>
      <w:bookmarkStart w:id="277" w:name="_Toc22646"/>
      <w:bookmarkStart w:id="278" w:name="_Toc8117"/>
      <w:bookmarkStart w:id="279" w:name="_Toc14182"/>
      <w:r>
        <w:rPr>
          <w:rFonts w:ascii="Times New Roman" w:hAnsi="Times New Roman" w:eastAsia="仿宋_GB2312" w:cs="Times New Roman"/>
          <w:bCs w:val="0"/>
          <w:sz w:val="28"/>
          <w:szCs w:val="28"/>
        </w:rPr>
        <w:t>5.2</w:t>
      </w:r>
      <w:r>
        <w:rPr>
          <w:rFonts w:ascii="Times New Roman" w:hAnsi="Times New Roman" w:eastAsia="仿宋_GB2312" w:cs="Times New Roman"/>
          <w:b/>
          <w:bCs w:val="0"/>
          <w:sz w:val="28"/>
          <w:szCs w:val="28"/>
        </w:rPr>
        <w:t>预警分级与准备</w:t>
      </w:r>
      <w:bookmarkEnd w:id="276"/>
      <w:bookmarkEnd w:id="277"/>
      <w:bookmarkEnd w:id="278"/>
      <w:bookmarkEnd w:id="279"/>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按照事件</w:t>
      </w:r>
      <w:r>
        <w:rPr>
          <w:rFonts w:hint="eastAsia" w:ascii="Times New Roman" w:hAnsi="Times New Roman" w:eastAsia="仿宋_GB2312" w:cs="Times New Roman"/>
          <w:color w:val="auto"/>
          <w:sz w:val="28"/>
          <w:szCs w:val="28"/>
        </w:rPr>
        <w:t>发生时的</w:t>
      </w:r>
      <w:r>
        <w:rPr>
          <w:rFonts w:ascii="Times New Roman" w:hAnsi="Times New Roman" w:eastAsia="仿宋_GB2312" w:cs="Times New Roman"/>
          <w:color w:val="auto"/>
          <w:sz w:val="28"/>
          <w:szCs w:val="28"/>
        </w:rPr>
        <w:t>严重性、紧急程度和可能</w:t>
      </w:r>
      <w:r>
        <w:rPr>
          <w:rFonts w:hint="eastAsia" w:ascii="Times New Roman" w:hAnsi="Times New Roman" w:eastAsia="仿宋_GB2312" w:cs="Times New Roman"/>
          <w:color w:val="auto"/>
          <w:sz w:val="28"/>
          <w:szCs w:val="28"/>
        </w:rPr>
        <w:t>涉</w:t>
      </w:r>
      <w:r>
        <w:rPr>
          <w:rFonts w:ascii="Times New Roman" w:hAnsi="Times New Roman" w:eastAsia="仿宋_GB2312" w:cs="Times New Roman"/>
          <w:color w:val="auto"/>
          <w:sz w:val="28"/>
          <w:szCs w:val="28"/>
        </w:rPr>
        <w:t>及的范围，对突发性环境污染事件的预警分为</w:t>
      </w:r>
      <w:r>
        <w:rPr>
          <w:rFonts w:hint="eastAsia" w:ascii="Times New Roman" w:hAnsi="Times New Roman" w:eastAsia="仿宋_GB2312" w:cs="Times New Roman"/>
          <w:color w:val="auto"/>
          <w:sz w:val="28"/>
          <w:szCs w:val="28"/>
        </w:rPr>
        <w:t>：红色预警（即：重</w:t>
      </w:r>
      <w:r>
        <w:rPr>
          <w:rFonts w:ascii="Times New Roman" w:hAnsi="Times New Roman" w:eastAsia="仿宋_GB2312" w:cs="Times New Roman"/>
          <w:color w:val="auto"/>
          <w:sz w:val="28"/>
          <w:szCs w:val="28"/>
        </w:rPr>
        <w:t>大（Ⅰ级）</w:t>
      </w:r>
      <w:r>
        <w:rPr>
          <w:rFonts w:hint="eastAsia" w:ascii="Times New Roman" w:hAnsi="Times New Roman" w:eastAsia="仿宋_GB2312" w:cs="Times New Roman"/>
          <w:color w:val="auto"/>
          <w:sz w:val="28"/>
          <w:szCs w:val="28"/>
        </w:rPr>
        <w:t>环境事件）、</w:t>
      </w:r>
      <w:r>
        <w:rPr>
          <w:rFonts w:ascii="Times New Roman" w:hAnsi="Times New Roman" w:eastAsia="仿宋_GB2312" w:cs="Times New Roman"/>
          <w:color w:val="auto"/>
          <w:sz w:val="28"/>
          <w:szCs w:val="28"/>
        </w:rPr>
        <w:t>橙色</w:t>
      </w:r>
      <w:r>
        <w:rPr>
          <w:rFonts w:hint="eastAsia" w:ascii="Times New Roman" w:hAnsi="Times New Roman" w:eastAsia="仿宋_GB2312" w:cs="Times New Roman"/>
          <w:color w:val="auto"/>
          <w:sz w:val="28"/>
          <w:szCs w:val="28"/>
        </w:rPr>
        <w:t>预警（即：一般</w:t>
      </w:r>
      <w:r>
        <w:rPr>
          <w:rFonts w:ascii="Times New Roman" w:hAnsi="Times New Roman" w:eastAsia="仿宋_GB2312" w:cs="Times New Roman"/>
          <w:color w:val="auto"/>
          <w:sz w:val="28"/>
          <w:szCs w:val="28"/>
        </w:rPr>
        <w:t>（Ⅱ级）</w:t>
      </w:r>
      <w:r>
        <w:rPr>
          <w:rFonts w:hint="eastAsia" w:ascii="Times New Roman" w:hAnsi="Times New Roman" w:eastAsia="仿宋_GB2312" w:cs="Times New Roman"/>
          <w:color w:val="auto"/>
          <w:sz w:val="28"/>
          <w:szCs w:val="28"/>
        </w:rPr>
        <w:t>环境事件）、黄色预警（即：较小</w:t>
      </w:r>
      <w:r>
        <w:rPr>
          <w:rFonts w:ascii="Times New Roman" w:hAnsi="Times New Roman" w:eastAsia="仿宋_GB2312" w:cs="Times New Roman"/>
          <w:color w:val="auto"/>
          <w:sz w:val="28"/>
          <w:szCs w:val="28"/>
        </w:rPr>
        <w:t>（Ⅲ级）</w:t>
      </w:r>
      <w:r>
        <w:rPr>
          <w:rFonts w:hint="eastAsia" w:ascii="Times New Roman" w:hAnsi="Times New Roman" w:eastAsia="仿宋_GB2312" w:cs="Times New Roman"/>
          <w:color w:val="auto"/>
          <w:sz w:val="28"/>
          <w:szCs w:val="28"/>
        </w:rPr>
        <w:t>环境事件）的三</w:t>
      </w:r>
      <w:r>
        <w:rPr>
          <w:rFonts w:ascii="Times New Roman" w:hAnsi="Times New Roman" w:eastAsia="仿宋_GB2312" w:cs="Times New Roman"/>
          <w:color w:val="auto"/>
          <w:sz w:val="28"/>
          <w:szCs w:val="28"/>
        </w:rPr>
        <w:t>级预警</w:t>
      </w:r>
      <w:r>
        <w:rPr>
          <w:rFonts w:hint="eastAsia" w:ascii="Times New Roman" w:hAnsi="Times New Roman" w:eastAsia="仿宋_GB2312" w:cs="Times New Roman"/>
          <w:color w:val="auto"/>
          <w:sz w:val="28"/>
          <w:szCs w:val="28"/>
        </w:rPr>
        <w:t>机制</w:t>
      </w:r>
      <w:r>
        <w:rPr>
          <w:rFonts w:ascii="Times New Roman" w:hAnsi="Times New Roman" w:eastAsia="仿宋_GB2312" w:cs="Times New Roman"/>
          <w:color w:val="auto"/>
          <w:sz w:val="28"/>
          <w:szCs w:val="28"/>
        </w:rPr>
        <w:t>，根据事态的发展情况和采取措施的效果，预警可以升级、降级或解除。</w:t>
      </w:r>
    </w:p>
    <w:p>
      <w:pPr>
        <w:pStyle w:val="12"/>
        <w:spacing w:line="560" w:lineRule="exact"/>
        <w:rPr>
          <w:rFonts w:ascii="Times New Roman" w:hAnsi="Times New Roman" w:eastAsia="仿宋_GB2312" w:cs="Times New Roman"/>
          <w:b/>
          <w:bCs w:val="0"/>
          <w:sz w:val="28"/>
          <w:szCs w:val="28"/>
        </w:rPr>
      </w:pPr>
      <w:bookmarkStart w:id="280" w:name="_Toc402516929"/>
      <w:bookmarkStart w:id="281" w:name="_Toc21755"/>
      <w:bookmarkStart w:id="282" w:name="_Toc20697"/>
      <w:bookmarkStart w:id="283" w:name="_Toc8657"/>
      <w:r>
        <w:rPr>
          <w:rFonts w:ascii="Times New Roman" w:hAnsi="Times New Roman" w:eastAsia="仿宋_GB2312" w:cs="Times New Roman"/>
          <w:bCs w:val="0"/>
          <w:sz w:val="28"/>
          <w:szCs w:val="28"/>
        </w:rPr>
        <w:t>5.3</w:t>
      </w:r>
      <w:r>
        <w:rPr>
          <w:rFonts w:ascii="Times New Roman" w:hAnsi="Times New Roman" w:eastAsia="仿宋_GB2312" w:cs="Times New Roman"/>
          <w:b/>
          <w:bCs w:val="0"/>
          <w:sz w:val="28"/>
          <w:szCs w:val="28"/>
        </w:rPr>
        <w:t>预警发布与解除</w:t>
      </w:r>
      <w:bookmarkEnd w:id="280"/>
      <w:bookmarkEnd w:id="281"/>
      <w:bookmarkEnd w:id="282"/>
      <w:bookmarkEnd w:id="283"/>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突发性环境事件预警公告应根据事件级别由相应的部门进行对外统一</w:t>
      </w:r>
      <w:r>
        <w:rPr>
          <w:rFonts w:ascii="Times New Roman" w:hAnsi="Times New Roman" w:eastAsia="仿宋_GB2312" w:cs="Times New Roman"/>
          <w:color w:val="auto"/>
          <w:sz w:val="28"/>
          <w:szCs w:val="28"/>
        </w:rPr>
        <w:t>发布与解除</w:t>
      </w:r>
      <w:r>
        <w:rPr>
          <w:rFonts w:hint="eastAsia" w:ascii="Times New Roman" w:hAnsi="Times New Roman" w:eastAsia="仿宋_GB2312" w:cs="Times New Roman"/>
          <w:color w:val="auto"/>
          <w:sz w:val="28"/>
          <w:szCs w:val="28"/>
        </w:rPr>
        <w:t>。</w:t>
      </w:r>
    </w:p>
    <w:p>
      <w:pPr>
        <w:pStyle w:val="12"/>
        <w:spacing w:line="560" w:lineRule="exact"/>
        <w:rPr>
          <w:rFonts w:ascii="Times New Roman" w:hAnsi="Times New Roman" w:eastAsia="仿宋_GB2312" w:cs="Times New Roman"/>
          <w:b/>
          <w:bCs w:val="0"/>
          <w:sz w:val="28"/>
          <w:szCs w:val="28"/>
        </w:rPr>
      </w:pPr>
      <w:bookmarkStart w:id="284" w:name="_Toc402516930"/>
      <w:bookmarkStart w:id="285" w:name="_Toc447"/>
      <w:bookmarkStart w:id="286" w:name="_Toc13761"/>
      <w:bookmarkStart w:id="287" w:name="_Toc23570"/>
      <w:r>
        <w:rPr>
          <w:rFonts w:ascii="Times New Roman" w:hAnsi="Times New Roman" w:eastAsia="仿宋_GB2312" w:cs="Times New Roman"/>
          <w:bCs w:val="0"/>
          <w:sz w:val="28"/>
          <w:szCs w:val="28"/>
        </w:rPr>
        <w:t>5.4</w:t>
      </w:r>
      <w:r>
        <w:rPr>
          <w:rFonts w:ascii="Times New Roman" w:hAnsi="Times New Roman" w:eastAsia="仿宋_GB2312" w:cs="Times New Roman"/>
          <w:b/>
          <w:bCs w:val="0"/>
          <w:sz w:val="28"/>
          <w:szCs w:val="28"/>
        </w:rPr>
        <w:t>预警措施</w:t>
      </w:r>
      <w:bookmarkEnd w:id="284"/>
      <w:bookmarkEnd w:id="285"/>
      <w:bookmarkEnd w:id="286"/>
      <w:bookmarkEnd w:id="287"/>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在</w:t>
      </w:r>
      <w:r>
        <w:rPr>
          <w:rFonts w:ascii="Times New Roman" w:hAnsi="Times New Roman" w:eastAsia="仿宋_GB2312" w:cs="Times New Roman"/>
          <w:color w:val="auto"/>
          <w:sz w:val="28"/>
          <w:szCs w:val="28"/>
        </w:rPr>
        <w:t>收到有关信息证明突发性环境污染事件即将发生或者</w:t>
      </w:r>
      <w:r>
        <w:rPr>
          <w:rFonts w:hint="eastAsia" w:ascii="Times New Roman" w:hAnsi="Times New Roman" w:eastAsia="仿宋_GB2312" w:cs="Times New Roman"/>
          <w:color w:val="auto"/>
          <w:sz w:val="28"/>
          <w:szCs w:val="28"/>
        </w:rPr>
        <w:t>已经</w:t>
      </w:r>
      <w:r>
        <w:rPr>
          <w:rFonts w:ascii="Times New Roman" w:hAnsi="Times New Roman" w:eastAsia="仿宋_GB2312" w:cs="Times New Roman"/>
          <w:color w:val="auto"/>
          <w:sz w:val="28"/>
          <w:szCs w:val="28"/>
        </w:rPr>
        <w:t>发生</w:t>
      </w:r>
      <w:r>
        <w:rPr>
          <w:rFonts w:hint="eastAsia" w:ascii="Times New Roman" w:hAnsi="Times New Roman" w:eastAsia="仿宋_GB2312" w:cs="Times New Roman"/>
          <w:color w:val="auto"/>
          <w:sz w:val="28"/>
          <w:szCs w:val="28"/>
        </w:rPr>
        <w:t>，各相关部门和责任人应以最快速度</w:t>
      </w:r>
      <w:r>
        <w:rPr>
          <w:rFonts w:ascii="Times New Roman" w:hAnsi="Times New Roman" w:eastAsia="仿宋_GB2312" w:cs="Times New Roman"/>
          <w:color w:val="auto"/>
          <w:sz w:val="28"/>
          <w:szCs w:val="28"/>
        </w:rPr>
        <w:t>按照相关应急预案执行。</w:t>
      </w:r>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进入预警状态后，应当采取的措施：</w:t>
      </w:r>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w:t>
      </w:r>
      <w:r>
        <w:rPr>
          <w:rFonts w:hint="eastAsia" w:ascii="Times New Roman" w:hAnsi="Times New Roman" w:eastAsia="仿宋_GB2312" w:cs="Times New Roman"/>
          <w:color w:val="auto"/>
          <w:sz w:val="28"/>
          <w:szCs w:val="28"/>
          <w:lang w:eastAsia="zh-CN"/>
        </w:rPr>
        <w:t>根据事故发生的大小程度以及严重程度，</w:t>
      </w:r>
      <w:r>
        <w:rPr>
          <w:rFonts w:ascii="Times New Roman" w:hAnsi="Times New Roman" w:eastAsia="仿宋_GB2312" w:cs="Times New Roman"/>
          <w:color w:val="auto"/>
          <w:sz w:val="28"/>
          <w:szCs w:val="28"/>
        </w:rPr>
        <w:t>立即</w:t>
      </w:r>
      <w:r>
        <w:rPr>
          <w:rFonts w:hint="eastAsia" w:ascii="Times New Roman" w:hAnsi="Times New Roman" w:eastAsia="仿宋_GB2312" w:cs="Times New Roman"/>
          <w:color w:val="auto"/>
          <w:sz w:val="28"/>
          <w:szCs w:val="28"/>
          <w:lang w:eastAsia="zh-CN"/>
        </w:rPr>
        <w:t>分级</w:t>
      </w:r>
      <w:r>
        <w:rPr>
          <w:rFonts w:ascii="Times New Roman" w:hAnsi="Times New Roman" w:eastAsia="仿宋_GB2312" w:cs="Times New Roman"/>
          <w:color w:val="auto"/>
          <w:sz w:val="28"/>
          <w:szCs w:val="28"/>
        </w:rPr>
        <w:t>启动相关应急预案。</w:t>
      </w:r>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w:t>
      </w:r>
      <w:r>
        <w:rPr>
          <w:rFonts w:hint="eastAsia" w:ascii="Times New Roman" w:hAnsi="Times New Roman" w:eastAsia="仿宋_GB2312" w:cs="Times New Roman"/>
          <w:color w:val="auto"/>
          <w:sz w:val="28"/>
          <w:szCs w:val="28"/>
        </w:rPr>
        <w:t>统一</w:t>
      </w:r>
      <w:r>
        <w:rPr>
          <w:rFonts w:ascii="Times New Roman" w:hAnsi="Times New Roman" w:eastAsia="仿宋_GB2312" w:cs="Times New Roman"/>
          <w:color w:val="auto"/>
          <w:sz w:val="28"/>
          <w:szCs w:val="28"/>
        </w:rPr>
        <w:t>发布预警公告。</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（3）指令各环境应急救援队伍进入应急状态</w:t>
      </w:r>
      <w:r>
        <w:rPr>
          <w:rFonts w:hint="eastAsia" w:ascii="Times New Roman" w:hAnsi="Times New Roman" w:eastAsia="仿宋_GB2312" w:cs="Times New Roman"/>
          <w:color w:val="auto"/>
          <w:sz w:val="28"/>
          <w:szCs w:val="28"/>
        </w:rPr>
        <w:t>进行待命</w:t>
      </w:r>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4</w:t>
      </w:r>
      <w:r>
        <w:rPr>
          <w:rFonts w:ascii="Times New Roman" w:hAnsi="Times New Roman" w:eastAsia="仿宋_GB2312" w:cs="Times New Roman"/>
          <w:color w:val="auto"/>
          <w:sz w:val="28"/>
          <w:szCs w:val="28"/>
        </w:rPr>
        <w:t>）随时</w:t>
      </w:r>
      <w:r>
        <w:rPr>
          <w:rFonts w:hint="eastAsia" w:ascii="Times New Roman" w:hAnsi="Times New Roman" w:eastAsia="仿宋_GB2312" w:cs="Times New Roman"/>
          <w:color w:val="auto"/>
          <w:sz w:val="28"/>
          <w:szCs w:val="28"/>
        </w:rPr>
        <w:t>了解</w:t>
      </w:r>
      <w:r>
        <w:rPr>
          <w:rFonts w:ascii="Times New Roman" w:hAnsi="Times New Roman" w:eastAsia="仿宋_GB2312" w:cs="Times New Roman"/>
          <w:color w:val="auto"/>
          <w:sz w:val="28"/>
          <w:szCs w:val="28"/>
        </w:rPr>
        <w:t>事态进展情况</w:t>
      </w:r>
      <w:r>
        <w:rPr>
          <w:rFonts w:hint="eastAsia" w:ascii="Times New Roman" w:hAnsi="Times New Roman" w:eastAsia="仿宋_GB2312" w:cs="Times New Roman"/>
          <w:color w:val="auto"/>
          <w:sz w:val="28"/>
          <w:szCs w:val="28"/>
        </w:rPr>
        <w:t>，并</w:t>
      </w:r>
      <w:r>
        <w:rPr>
          <w:rFonts w:ascii="Times New Roman" w:hAnsi="Times New Roman" w:eastAsia="仿宋_GB2312" w:cs="Times New Roman"/>
          <w:color w:val="auto"/>
          <w:sz w:val="28"/>
          <w:szCs w:val="28"/>
        </w:rPr>
        <w:t>调集</w:t>
      </w:r>
      <w:r>
        <w:rPr>
          <w:rFonts w:hint="eastAsia" w:ascii="Times New Roman" w:hAnsi="Times New Roman" w:eastAsia="仿宋_GB2312" w:cs="Times New Roman"/>
          <w:color w:val="auto"/>
          <w:sz w:val="28"/>
          <w:szCs w:val="28"/>
        </w:rPr>
        <w:t>相应的救援</w:t>
      </w:r>
      <w:r>
        <w:rPr>
          <w:rFonts w:ascii="Times New Roman" w:hAnsi="Times New Roman" w:eastAsia="仿宋_GB2312" w:cs="Times New Roman"/>
          <w:color w:val="auto"/>
          <w:sz w:val="28"/>
          <w:szCs w:val="28"/>
        </w:rPr>
        <w:t>需物资和设备，确保应急保障工作。</w:t>
      </w:r>
    </w:p>
    <w:p>
      <w:pPr>
        <w:pStyle w:val="12"/>
        <w:spacing w:line="560" w:lineRule="exact"/>
        <w:rPr>
          <w:rFonts w:ascii="Times New Roman" w:hAnsi="Times New Roman" w:eastAsia="仿宋_GB2312" w:cs="Times New Roman"/>
          <w:b/>
          <w:bCs w:val="0"/>
          <w:sz w:val="28"/>
          <w:szCs w:val="28"/>
        </w:rPr>
      </w:pPr>
      <w:bookmarkStart w:id="288" w:name="_Toc402516931"/>
      <w:bookmarkStart w:id="289" w:name="_Toc2984"/>
      <w:bookmarkStart w:id="290" w:name="_Toc25472"/>
      <w:bookmarkStart w:id="291" w:name="_Toc16631"/>
      <w:r>
        <w:rPr>
          <w:rFonts w:ascii="Times New Roman" w:hAnsi="Times New Roman" w:eastAsia="仿宋_GB2312" w:cs="Times New Roman"/>
          <w:bCs w:val="0"/>
          <w:sz w:val="28"/>
          <w:szCs w:val="28"/>
        </w:rPr>
        <w:t>6</w:t>
      </w:r>
      <w:r>
        <w:rPr>
          <w:rFonts w:hint="eastAsia" w:ascii="Times New Roman" w:hAnsi="Times New Roman" w:eastAsia="仿宋_GB2312" w:cs="Times New Roman"/>
          <w:bCs w:val="0"/>
          <w:sz w:val="28"/>
          <w:szCs w:val="28"/>
        </w:rPr>
        <w:t>．</w:t>
      </w:r>
      <w:r>
        <w:rPr>
          <w:rFonts w:ascii="Times New Roman" w:hAnsi="Times New Roman" w:eastAsia="仿宋_GB2312" w:cs="Times New Roman"/>
          <w:b/>
          <w:bCs w:val="0"/>
          <w:sz w:val="28"/>
          <w:szCs w:val="28"/>
        </w:rPr>
        <w:t>应急处置</w:t>
      </w:r>
      <w:bookmarkEnd w:id="288"/>
      <w:bookmarkEnd w:id="289"/>
      <w:bookmarkEnd w:id="290"/>
      <w:bookmarkEnd w:id="291"/>
    </w:p>
    <w:p>
      <w:pPr>
        <w:pStyle w:val="12"/>
        <w:spacing w:line="560" w:lineRule="exact"/>
        <w:rPr>
          <w:rFonts w:ascii="Times New Roman" w:hAnsi="Times New Roman" w:eastAsia="仿宋_GB2312" w:cs="Times New Roman"/>
          <w:b/>
          <w:bCs w:val="0"/>
          <w:sz w:val="28"/>
          <w:szCs w:val="28"/>
        </w:rPr>
      </w:pPr>
      <w:bookmarkStart w:id="292" w:name="_Toc402516932"/>
      <w:bookmarkStart w:id="293" w:name="_Toc6080"/>
      <w:bookmarkStart w:id="294" w:name="_Toc13452"/>
      <w:bookmarkStart w:id="295" w:name="_Toc5820"/>
      <w:r>
        <w:rPr>
          <w:rFonts w:ascii="Times New Roman" w:hAnsi="Times New Roman" w:eastAsia="仿宋_GB2312" w:cs="Times New Roman"/>
          <w:bCs w:val="0"/>
          <w:sz w:val="28"/>
          <w:szCs w:val="28"/>
        </w:rPr>
        <w:t>6.1</w:t>
      </w:r>
      <w:r>
        <w:rPr>
          <w:rFonts w:ascii="Times New Roman" w:hAnsi="Times New Roman" w:eastAsia="仿宋_GB2312" w:cs="Times New Roman"/>
          <w:b/>
          <w:bCs w:val="0"/>
          <w:sz w:val="28"/>
          <w:szCs w:val="28"/>
        </w:rPr>
        <w:t>应急预案启动</w:t>
      </w:r>
      <w:bookmarkEnd w:id="292"/>
      <w:bookmarkEnd w:id="293"/>
      <w:bookmarkEnd w:id="294"/>
      <w:bookmarkEnd w:id="295"/>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（1）值班人员在接到突发</w:t>
      </w:r>
      <w:r>
        <w:rPr>
          <w:rFonts w:hint="eastAsia" w:ascii="Times New Roman" w:hAnsi="Times New Roman" w:eastAsia="仿宋_GB2312" w:cs="Times New Roman"/>
          <w:color w:val="auto"/>
          <w:sz w:val="28"/>
          <w:szCs w:val="28"/>
        </w:rPr>
        <w:t>性</w:t>
      </w:r>
      <w:r>
        <w:rPr>
          <w:rFonts w:ascii="Times New Roman" w:hAnsi="Times New Roman" w:eastAsia="仿宋_GB2312" w:cs="Times New Roman"/>
          <w:color w:val="auto"/>
          <w:sz w:val="28"/>
          <w:szCs w:val="28"/>
        </w:rPr>
        <w:t>环境事件报告后，应立即向</w:t>
      </w:r>
      <w:r>
        <w:rPr>
          <w:rFonts w:hint="eastAsia" w:ascii="Times New Roman" w:hAnsi="Times New Roman" w:eastAsia="仿宋_GB2312" w:cs="Times New Roman"/>
          <w:color w:val="auto"/>
          <w:sz w:val="28"/>
          <w:szCs w:val="28"/>
        </w:rPr>
        <w:t>相关</w:t>
      </w:r>
      <w:r>
        <w:rPr>
          <w:rFonts w:ascii="Times New Roman" w:hAnsi="Times New Roman" w:eastAsia="仿宋_GB2312" w:cs="Times New Roman"/>
          <w:color w:val="auto"/>
          <w:sz w:val="28"/>
          <w:szCs w:val="28"/>
        </w:rPr>
        <w:t>领导报告。遇到重大突发</w:t>
      </w:r>
      <w:r>
        <w:rPr>
          <w:rFonts w:hint="eastAsia" w:ascii="Times New Roman" w:hAnsi="Times New Roman" w:eastAsia="仿宋_GB2312" w:cs="Times New Roman"/>
          <w:color w:val="auto"/>
          <w:sz w:val="28"/>
          <w:szCs w:val="28"/>
        </w:rPr>
        <w:t>性</w:t>
      </w:r>
      <w:r>
        <w:rPr>
          <w:rFonts w:ascii="Times New Roman" w:hAnsi="Times New Roman" w:eastAsia="仿宋_GB2312" w:cs="Times New Roman"/>
          <w:color w:val="auto"/>
          <w:sz w:val="28"/>
          <w:szCs w:val="28"/>
        </w:rPr>
        <w:t>环境事件</w:t>
      </w:r>
      <w:r>
        <w:rPr>
          <w:rFonts w:hint="eastAsia" w:ascii="Times New Roman" w:hAnsi="Times New Roman" w:eastAsia="仿宋_GB2312" w:cs="Times New Roman"/>
          <w:color w:val="auto"/>
          <w:sz w:val="28"/>
          <w:szCs w:val="28"/>
        </w:rPr>
        <w:t>时</w:t>
      </w:r>
      <w:r>
        <w:rPr>
          <w:rFonts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rPr>
        <w:t>值班人员可以直接启动应急预案并通知相关救援人员</w:t>
      </w:r>
      <w:r>
        <w:rPr>
          <w:rFonts w:ascii="Times New Roman" w:hAnsi="Times New Roman" w:eastAsia="仿宋_GB2312" w:cs="Times New Roman"/>
          <w:color w:val="auto"/>
          <w:sz w:val="28"/>
          <w:szCs w:val="28"/>
        </w:rPr>
        <w:t>。</w:t>
      </w:r>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（2）值班人员接报后，应认真做好记录，做到信息准确、内容详实、记录清楚。</w:t>
      </w:r>
    </w:p>
    <w:p>
      <w:pPr>
        <w:pStyle w:val="11"/>
        <w:spacing w:before="0" w:beforeAutospacing="0" w:after="0" w:afterAutospacing="0" w:line="560" w:lineRule="exact"/>
        <w:ind w:firstLine="560" w:firstLineChars="200"/>
        <w:textAlignment w:val="baseline"/>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（3）应急值班人员必须保持全天24小时通讯畅通，遇到紧急情况下，可根据应急领导小组的指令，直接通知相关人员做好应急各项准备，在指定地点集合。被通知人员接到通知后，</w:t>
      </w:r>
      <w:r>
        <w:rPr>
          <w:rFonts w:hint="eastAsia" w:ascii="Times New Roman" w:hAnsi="Times New Roman" w:eastAsia="仿宋_GB2312" w:cs="Times New Roman"/>
          <w:color w:val="auto"/>
          <w:sz w:val="28"/>
          <w:szCs w:val="28"/>
        </w:rPr>
        <w:t>应立即</w:t>
      </w:r>
      <w:r>
        <w:rPr>
          <w:rFonts w:ascii="Times New Roman" w:hAnsi="Times New Roman" w:eastAsia="仿宋_GB2312" w:cs="Times New Roman"/>
          <w:color w:val="auto"/>
          <w:sz w:val="28"/>
          <w:szCs w:val="28"/>
        </w:rPr>
        <w:t>到达集合地点。</w:t>
      </w:r>
    </w:p>
    <w:p>
      <w:pPr>
        <w:pStyle w:val="12"/>
        <w:spacing w:line="560" w:lineRule="exact"/>
        <w:rPr>
          <w:rFonts w:ascii="Times New Roman" w:hAnsi="Times New Roman" w:eastAsia="仿宋_GB2312" w:cs="Times New Roman"/>
          <w:b/>
          <w:bCs w:val="0"/>
          <w:sz w:val="28"/>
          <w:szCs w:val="28"/>
        </w:rPr>
      </w:pPr>
      <w:bookmarkStart w:id="296" w:name="_Toc402516933"/>
      <w:bookmarkStart w:id="297" w:name="_Toc9901"/>
      <w:bookmarkStart w:id="298" w:name="_Toc9090"/>
      <w:bookmarkStart w:id="299" w:name="_Toc2496"/>
      <w:r>
        <w:rPr>
          <w:rFonts w:ascii="Times New Roman" w:hAnsi="Times New Roman" w:eastAsia="仿宋_GB2312" w:cs="Times New Roman"/>
          <w:bCs w:val="0"/>
          <w:sz w:val="28"/>
          <w:szCs w:val="28"/>
        </w:rPr>
        <w:t>6.2</w:t>
      </w:r>
      <w:r>
        <w:rPr>
          <w:rFonts w:ascii="Times New Roman" w:hAnsi="Times New Roman" w:eastAsia="仿宋_GB2312" w:cs="Times New Roman"/>
          <w:b/>
          <w:bCs w:val="0"/>
          <w:sz w:val="28"/>
          <w:szCs w:val="28"/>
        </w:rPr>
        <w:t>信息报告</w:t>
      </w:r>
      <w:bookmarkEnd w:id="296"/>
      <w:bookmarkEnd w:id="297"/>
      <w:bookmarkEnd w:id="298"/>
      <w:bookmarkEnd w:id="299"/>
    </w:p>
    <w:p>
      <w:pPr>
        <w:pStyle w:val="12"/>
        <w:spacing w:line="560" w:lineRule="exact"/>
        <w:rPr>
          <w:rFonts w:ascii="Times New Roman" w:hAnsi="Times New Roman" w:eastAsia="仿宋_GB2312" w:cs="Times New Roman"/>
          <w:b/>
          <w:bCs w:val="0"/>
          <w:sz w:val="28"/>
          <w:szCs w:val="28"/>
        </w:rPr>
      </w:pPr>
      <w:bookmarkStart w:id="300" w:name="_Toc402516934"/>
      <w:bookmarkStart w:id="301" w:name="_Toc3646"/>
      <w:bookmarkStart w:id="302" w:name="_Toc7554"/>
      <w:bookmarkStart w:id="303" w:name="_Toc3757"/>
      <w:r>
        <w:rPr>
          <w:rFonts w:ascii="Times New Roman" w:hAnsi="Times New Roman" w:eastAsia="仿宋_GB2312" w:cs="Times New Roman"/>
          <w:bCs w:val="0"/>
          <w:sz w:val="28"/>
          <w:szCs w:val="28"/>
        </w:rPr>
        <w:t>6.2.1</w:t>
      </w:r>
      <w:r>
        <w:rPr>
          <w:rFonts w:ascii="Times New Roman" w:hAnsi="Times New Roman" w:eastAsia="仿宋_GB2312" w:cs="Times New Roman"/>
          <w:b/>
          <w:bCs w:val="0"/>
          <w:sz w:val="28"/>
          <w:szCs w:val="28"/>
        </w:rPr>
        <w:t>突发性环境污染事件报告程序</w:t>
      </w:r>
      <w:bookmarkEnd w:id="300"/>
      <w:bookmarkEnd w:id="301"/>
      <w:bookmarkEnd w:id="302"/>
      <w:bookmarkEnd w:id="303"/>
    </w:p>
    <w:p>
      <w:pPr>
        <w:spacing w:line="560" w:lineRule="exact"/>
        <w:ind w:firstLine="630" w:firstLineChars="225"/>
        <w:rPr>
          <w:rFonts w:ascii="Times New Roman" w:hAnsi="Times New Roman" w:eastAsia="仿宋_GB2312" w:cs="Times New Roman"/>
          <w:color w:val="auto"/>
          <w:kern w:val="0"/>
          <w:sz w:val="28"/>
          <w:szCs w:val="28"/>
          <w:lang w:val="en-US" w:eastAsia="zh-CN" w:bidi="ar-SA"/>
        </w:rPr>
      </w:pPr>
      <w:r>
        <w:rPr>
          <w:rFonts w:ascii="Times New Roman" w:hAnsi="Times New Roman" w:eastAsia="仿宋_GB2312" w:cs="Times New Roman"/>
          <w:color w:val="auto"/>
          <w:kern w:val="0"/>
          <w:sz w:val="28"/>
          <w:szCs w:val="28"/>
          <w:lang w:val="en-US" w:eastAsia="zh-CN" w:bidi="ar-SA"/>
        </w:rPr>
        <w:t>在突发性环境污染事件发现后，</w:t>
      </w:r>
      <w:r>
        <w:rPr>
          <w:rFonts w:hint="eastAsia" w:ascii="Times New Roman" w:hAnsi="Times New Roman" w:eastAsia="仿宋_GB2312" w:cs="Times New Roman"/>
          <w:color w:val="auto"/>
          <w:kern w:val="0"/>
          <w:sz w:val="28"/>
          <w:szCs w:val="28"/>
          <w:lang w:val="en-US" w:eastAsia="zh-CN" w:bidi="ar-SA"/>
        </w:rPr>
        <w:t>责任人</w:t>
      </w:r>
      <w:r>
        <w:rPr>
          <w:rFonts w:ascii="Times New Roman" w:hAnsi="Times New Roman" w:eastAsia="仿宋_GB2312" w:cs="Times New Roman"/>
          <w:color w:val="auto"/>
          <w:kern w:val="0"/>
          <w:sz w:val="28"/>
          <w:szCs w:val="28"/>
          <w:lang w:val="en-US" w:eastAsia="zh-CN" w:bidi="ar-SA"/>
        </w:rPr>
        <w:t>应立即向车间主管领导报告，同时向生产调度报告，并立即组织进行现场救</w:t>
      </w:r>
      <w:r>
        <w:rPr>
          <w:rFonts w:hint="eastAsia" w:ascii="Times New Roman" w:hAnsi="Times New Roman" w:eastAsia="仿宋_GB2312" w:cs="Times New Roman"/>
          <w:color w:val="auto"/>
          <w:kern w:val="0"/>
          <w:sz w:val="28"/>
          <w:szCs w:val="28"/>
          <w:lang w:val="en-US" w:eastAsia="zh-CN" w:bidi="ar-SA"/>
        </w:rPr>
        <w:t>援</w:t>
      </w:r>
      <w:r>
        <w:rPr>
          <w:rFonts w:ascii="Times New Roman" w:hAnsi="Times New Roman" w:eastAsia="仿宋_GB2312" w:cs="Times New Roman"/>
          <w:color w:val="auto"/>
          <w:kern w:val="0"/>
          <w:sz w:val="28"/>
          <w:szCs w:val="28"/>
          <w:lang w:val="en-US" w:eastAsia="zh-CN" w:bidi="ar-SA"/>
        </w:rPr>
        <w:t>，经</w:t>
      </w:r>
      <w:r>
        <w:rPr>
          <w:rFonts w:hint="eastAsia" w:ascii="Times New Roman" w:hAnsi="Times New Roman" w:eastAsia="仿宋_GB2312" w:cs="Times New Roman"/>
          <w:color w:val="auto"/>
          <w:kern w:val="0"/>
          <w:sz w:val="28"/>
          <w:szCs w:val="28"/>
          <w:lang w:val="en-US" w:eastAsia="zh-CN" w:bidi="ar-SA"/>
        </w:rPr>
        <w:t>车间和生产调度进行</w:t>
      </w:r>
      <w:r>
        <w:rPr>
          <w:rFonts w:ascii="Times New Roman" w:hAnsi="Times New Roman" w:eastAsia="仿宋_GB2312" w:cs="Times New Roman"/>
          <w:color w:val="auto"/>
          <w:kern w:val="0"/>
          <w:sz w:val="28"/>
          <w:szCs w:val="28"/>
          <w:lang w:val="en-US" w:eastAsia="zh-CN" w:bidi="ar-SA"/>
        </w:rPr>
        <w:t>现场查看后确定</w:t>
      </w:r>
      <w:r>
        <w:rPr>
          <w:rFonts w:hint="eastAsia" w:ascii="Times New Roman" w:hAnsi="Times New Roman" w:eastAsia="仿宋_GB2312" w:cs="Times New Roman"/>
          <w:color w:val="auto"/>
          <w:kern w:val="0"/>
          <w:sz w:val="28"/>
          <w:szCs w:val="28"/>
          <w:lang w:val="en-US" w:eastAsia="zh-CN" w:bidi="ar-SA"/>
        </w:rPr>
        <w:t>启动几级应急响应。</w:t>
      </w:r>
      <w:r>
        <w:rPr>
          <w:rFonts w:ascii="Times New Roman" w:hAnsi="Times New Roman" w:eastAsia="仿宋_GB2312" w:cs="Times New Roman"/>
          <w:color w:val="auto"/>
          <w:kern w:val="0"/>
          <w:sz w:val="28"/>
          <w:szCs w:val="28"/>
          <w:lang w:val="en-US" w:eastAsia="zh-CN" w:bidi="ar-SA"/>
        </w:rPr>
        <w:t>紧急情况下，可以</w:t>
      </w:r>
      <w:r>
        <w:rPr>
          <w:rFonts w:hint="eastAsia" w:ascii="Times New Roman" w:hAnsi="Times New Roman" w:eastAsia="仿宋_GB2312" w:cs="Times New Roman"/>
          <w:color w:val="auto"/>
          <w:kern w:val="0"/>
          <w:sz w:val="28"/>
          <w:szCs w:val="28"/>
          <w:lang w:val="en-US" w:eastAsia="zh-CN" w:bidi="ar-SA"/>
        </w:rPr>
        <w:t>直接</w:t>
      </w:r>
      <w:r>
        <w:rPr>
          <w:rFonts w:ascii="Times New Roman" w:hAnsi="Times New Roman" w:eastAsia="仿宋_GB2312" w:cs="Times New Roman"/>
          <w:color w:val="auto"/>
          <w:kern w:val="0"/>
          <w:sz w:val="28"/>
          <w:szCs w:val="28"/>
          <w:lang w:val="en-US" w:eastAsia="zh-CN" w:bidi="ar-SA"/>
        </w:rPr>
        <w:t>越级上报。</w:t>
      </w:r>
    </w:p>
    <w:p>
      <w:pPr>
        <w:pStyle w:val="12"/>
        <w:spacing w:line="560" w:lineRule="exact"/>
        <w:rPr>
          <w:rFonts w:ascii="Times New Roman" w:hAnsi="Times New Roman" w:eastAsia="仿宋_GB2312" w:cs="Times New Roman"/>
          <w:b/>
          <w:bCs w:val="0"/>
          <w:sz w:val="28"/>
          <w:szCs w:val="28"/>
        </w:rPr>
      </w:pPr>
      <w:bookmarkStart w:id="304" w:name="_Toc402516935"/>
      <w:bookmarkStart w:id="305" w:name="_Toc20658"/>
      <w:bookmarkStart w:id="306" w:name="_Toc21319"/>
      <w:bookmarkStart w:id="307" w:name="_Toc29991"/>
      <w:r>
        <w:rPr>
          <w:rFonts w:ascii="Times New Roman" w:hAnsi="Times New Roman" w:eastAsia="仿宋_GB2312" w:cs="Times New Roman"/>
          <w:bCs w:val="0"/>
          <w:sz w:val="28"/>
          <w:szCs w:val="28"/>
        </w:rPr>
        <w:t>6.2.2</w:t>
      </w:r>
      <w:r>
        <w:rPr>
          <w:rFonts w:ascii="Times New Roman" w:hAnsi="Times New Roman" w:eastAsia="仿宋_GB2312" w:cs="Times New Roman"/>
          <w:b/>
          <w:bCs w:val="0"/>
          <w:sz w:val="28"/>
          <w:szCs w:val="28"/>
        </w:rPr>
        <w:t>突发性环境污染事件报告方式与内容</w:t>
      </w:r>
      <w:bookmarkEnd w:id="304"/>
      <w:bookmarkEnd w:id="305"/>
      <w:bookmarkEnd w:id="306"/>
      <w:bookmarkEnd w:id="307"/>
    </w:p>
    <w:p>
      <w:pPr>
        <w:pStyle w:val="12"/>
        <w:spacing w:line="560" w:lineRule="exact"/>
        <w:rPr>
          <w:rFonts w:ascii="Times New Roman" w:hAnsi="Times New Roman" w:eastAsia="仿宋_GB2312" w:cs="Times New Roman"/>
          <w:b/>
          <w:bCs w:val="0"/>
          <w:sz w:val="28"/>
          <w:szCs w:val="28"/>
        </w:rPr>
      </w:pPr>
      <w:bookmarkStart w:id="308" w:name="_Toc402516936"/>
      <w:bookmarkStart w:id="309" w:name="_Toc15181"/>
      <w:bookmarkStart w:id="310" w:name="_Toc7512"/>
      <w:bookmarkStart w:id="311" w:name="_Toc29796"/>
      <w:r>
        <w:rPr>
          <w:rFonts w:ascii="Times New Roman" w:hAnsi="Times New Roman" w:eastAsia="仿宋_GB2312" w:cs="Times New Roman"/>
          <w:bCs w:val="0"/>
          <w:sz w:val="28"/>
          <w:szCs w:val="28"/>
        </w:rPr>
        <w:t>6.2.2.</w:t>
      </w:r>
      <w:r>
        <w:rPr>
          <w:rFonts w:hint="eastAsia" w:ascii="Times New Roman" w:hAnsi="Times New Roman" w:eastAsia="仿宋_GB2312" w:cs="Times New Roman"/>
          <w:bCs w:val="0"/>
          <w:sz w:val="28"/>
          <w:szCs w:val="28"/>
        </w:rPr>
        <w:t>1</w:t>
      </w:r>
      <w:r>
        <w:rPr>
          <w:rFonts w:ascii="Times New Roman" w:hAnsi="Times New Roman" w:eastAsia="仿宋_GB2312" w:cs="Times New Roman"/>
          <w:b/>
          <w:bCs w:val="0"/>
          <w:sz w:val="28"/>
          <w:szCs w:val="28"/>
        </w:rPr>
        <w:t>突发性环境污染事件报告方式</w:t>
      </w:r>
      <w:bookmarkEnd w:id="308"/>
      <w:bookmarkEnd w:id="309"/>
      <w:bookmarkEnd w:id="310"/>
      <w:bookmarkEnd w:id="311"/>
    </w:p>
    <w:p>
      <w:pPr>
        <w:spacing w:line="560" w:lineRule="exact"/>
        <w:ind w:firstLine="630" w:firstLineChars="225"/>
        <w:rPr>
          <w:rFonts w:hint="eastAsia" w:ascii="Times New Roman" w:hAnsi="Times New Roman" w:eastAsia="仿宋_GB2312" w:cs="Times New Roman"/>
          <w:color w:val="auto"/>
          <w:kern w:val="0"/>
          <w:sz w:val="28"/>
          <w:szCs w:val="28"/>
          <w:lang w:val="en-US" w:eastAsia="zh-CN" w:bidi="ar-SA"/>
        </w:rPr>
      </w:pPr>
      <w:r>
        <w:rPr>
          <w:rFonts w:ascii="Times New Roman" w:hAnsi="Times New Roman" w:eastAsia="仿宋_GB2312" w:cs="Times New Roman"/>
          <w:color w:val="auto"/>
          <w:kern w:val="0"/>
          <w:sz w:val="28"/>
          <w:szCs w:val="28"/>
          <w:lang w:val="en-US" w:eastAsia="zh-CN" w:bidi="ar-SA"/>
        </w:rPr>
        <w:t>突发性环境污染事件的报告分为初报、续报和结果报告三类。</w:t>
      </w:r>
    </w:p>
    <w:p>
      <w:pPr>
        <w:spacing w:line="560" w:lineRule="exact"/>
        <w:ind w:firstLine="630" w:firstLineChars="225"/>
        <w:rPr>
          <w:rFonts w:hint="eastAsia" w:ascii="Times New Roman" w:hAnsi="Times New Roman" w:eastAsia="仿宋_GB2312" w:cs="Times New Roman"/>
          <w:color w:val="auto"/>
          <w:kern w:val="0"/>
          <w:sz w:val="28"/>
          <w:szCs w:val="28"/>
          <w:lang w:val="en-US" w:eastAsia="zh-CN" w:bidi="ar-SA"/>
        </w:rPr>
      </w:pPr>
      <w:r>
        <w:rPr>
          <w:rFonts w:ascii="Times New Roman" w:hAnsi="Times New Roman" w:eastAsia="仿宋_GB2312" w:cs="Times New Roman"/>
          <w:color w:val="auto"/>
          <w:kern w:val="0"/>
          <w:sz w:val="28"/>
          <w:szCs w:val="28"/>
          <w:lang w:val="en-US" w:eastAsia="zh-CN" w:bidi="ar-SA"/>
        </w:rPr>
        <w:t>初报</w:t>
      </w:r>
      <w:r>
        <w:rPr>
          <w:rFonts w:hint="eastAsia" w:ascii="Times New Roman" w:hAnsi="Times New Roman" w:eastAsia="仿宋_GB2312" w:cs="Times New Roman"/>
          <w:color w:val="auto"/>
          <w:kern w:val="0"/>
          <w:sz w:val="28"/>
          <w:szCs w:val="28"/>
          <w:lang w:val="en-US" w:eastAsia="zh-CN" w:bidi="ar-SA"/>
        </w:rPr>
        <w:t>：</w:t>
      </w:r>
      <w:r>
        <w:rPr>
          <w:rFonts w:ascii="Times New Roman" w:hAnsi="Times New Roman" w:eastAsia="仿宋_GB2312" w:cs="Times New Roman"/>
          <w:color w:val="auto"/>
          <w:kern w:val="0"/>
          <w:sz w:val="28"/>
          <w:szCs w:val="28"/>
          <w:lang w:val="en-US" w:eastAsia="zh-CN" w:bidi="ar-SA"/>
        </w:rPr>
        <w:t>发现事件后立即上报；</w:t>
      </w:r>
    </w:p>
    <w:p>
      <w:pPr>
        <w:spacing w:line="560" w:lineRule="exact"/>
        <w:ind w:firstLine="630" w:firstLineChars="225"/>
        <w:rPr>
          <w:rFonts w:hint="eastAsia" w:ascii="Times New Roman" w:hAnsi="Times New Roman" w:eastAsia="仿宋_GB2312" w:cs="Times New Roman"/>
          <w:color w:val="auto"/>
          <w:kern w:val="0"/>
          <w:sz w:val="28"/>
          <w:szCs w:val="28"/>
          <w:lang w:val="en-US" w:eastAsia="zh-CN" w:bidi="ar-SA"/>
        </w:rPr>
      </w:pPr>
      <w:r>
        <w:rPr>
          <w:rFonts w:ascii="Times New Roman" w:hAnsi="Times New Roman" w:eastAsia="仿宋_GB2312" w:cs="Times New Roman"/>
          <w:color w:val="auto"/>
          <w:kern w:val="0"/>
          <w:sz w:val="28"/>
          <w:szCs w:val="28"/>
          <w:lang w:val="en-US" w:eastAsia="zh-CN" w:bidi="ar-SA"/>
        </w:rPr>
        <w:t>续报</w:t>
      </w:r>
      <w:r>
        <w:rPr>
          <w:rFonts w:hint="eastAsia" w:ascii="Times New Roman" w:hAnsi="Times New Roman" w:eastAsia="仿宋_GB2312" w:cs="Times New Roman"/>
          <w:color w:val="auto"/>
          <w:kern w:val="0"/>
          <w:sz w:val="28"/>
          <w:szCs w:val="28"/>
          <w:lang w:val="en-US" w:eastAsia="zh-CN" w:bidi="ar-SA"/>
        </w:rPr>
        <w:t>：</w:t>
      </w:r>
      <w:r>
        <w:rPr>
          <w:rFonts w:ascii="Times New Roman" w:hAnsi="Times New Roman" w:eastAsia="仿宋_GB2312" w:cs="Times New Roman"/>
          <w:color w:val="auto"/>
          <w:kern w:val="0"/>
          <w:sz w:val="28"/>
          <w:szCs w:val="28"/>
          <w:lang w:val="en-US" w:eastAsia="zh-CN" w:bidi="ar-SA"/>
        </w:rPr>
        <w:t>在查清有关基本情况后随时上报；</w:t>
      </w:r>
    </w:p>
    <w:p>
      <w:pPr>
        <w:spacing w:line="560" w:lineRule="exact"/>
        <w:ind w:firstLine="630" w:firstLineChars="225"/>
        <w:rPr>
          <w:rFonts w:hint="eastAsia"/>
        </w:rPr>
      </w:pPr>
      <w:r>
        <w:rPr>
          <w:rFonts w:ascii="Times New Roman" w:hAnsi="Times New Roman" w:eastAsia="仿宋_GB2312" w:cs="Times New Roman"/>
          <w:color w:val="auto"/>
          <w:kern w:val="0"/>
          <w:sz w:val="28"/>
          <w:szCs w:val="28"/>
          <w:lang w:val="en-US" w:eastAsia="zh-CN" w:bidi="ar-SA"/>
        </w:rPr>
        <w:t>结果报告</w:t>
      </w:r>
      <w:r>
        <w:rPr>
          <w:rFonts w:hint="eastAsia" w:ascii="Times New Roman" w:hAnsi="Times New Roman" w:eastAsia="仿宋_GB2312" w:cs="Times New Roman"/>
          <w:color w:val="auto"/>
          <w:kern w:val="0"/>
          <w:sz w:val="28"/>
          <w:szCs w:val="28"/>
          <w:lang w:val="en-US" w:eastAsia="zh-CN" w:bidi="ar-SA"/>
        </w:rPr>
        <w:t>：</w:t>
      </w:r>
      <w:r>
        <w:rPr>
          <w:rFonts w:ascii="Times New Roman" w:hAnsi="Times New Roman" w:eastAsia="仿宋_GB2312" w:cs="Times New Roman"/>
          <w:color w:val="auto"/>
          <w:kern w:val="0"/>
          <w:sz w:val="28"/>
          <w:szCs w:val="28"/>
          <w:lang w:val="en-US" w:eastAsia="zh-CN" w:bidi="ar-SA"/>
        </w:rPr>
        <w:t>在事件处理完毕后立即上报。</w:t>
      </w:r>
    </w:p>
    <w:p>
      <w:pPr>
        <w:pStyle w:val="12"/>
        <w:spacing w:line="560" w:lineRule="exact"/>
        <w:rPr>
          <w:rFonts w:hint="eastAsia" w:ascii="Times New Roman" w:hAnsi="Times New Roman" w:eastAsia="仿宋_GB2312" w:cs="Times New Roman"/>
          <w:b/>
          <w:bCs w:val="0"/>
          <w:sz w:val="28"/>
          <w:szCs w:val="28"/>
        </w:rPr>
      </w:pPr>
      <w:bookmarkStart w:id="312" w:name="_Toc402516937"/>
      <w:bookmarkStart w:id="313" w:name="_Toc19786"/>
      <w:bookmarkStart w:id="314" w:name="_Toc14586"/>
      <w:bookmarkStart w:id="315" w:name="_Toc26463"/>
      <w:r>
        <w:rPr>
          <w:rFonts w:ascii="Times New Roman" w:hAnsi="Times New Roman" w:eastAsia="仿宋_GB2312" w:cs="Times New Roman"/>
          <w:bCs w:val="0"/>
          <w:sz w:val="28"/>
          <w:szCs w:val="28"/>
        </w:rPr>
        <w:t>6.2.2.</w:t>
      </w:r>
      <w:r>
        <w:rPr>
          <w:rFonts w:hint="eastAsia" w:ascii="Times New Roman" w:hAnsi="Times New Roman" w:eastAsia="仿宋_GB2312" w:cs="Times New Roman"/>
          <w:bCs w:val="0"/>
          <w:sz w:val="28"/>
          <w:szCs w:val="28"/>
        </w:rPr>
        <w:t>2</w:t>
      </w:r>
      <w:r>
        <w:rPr>
          <w:rFonts w:ascii="Times New Roman" w:hAnsi="Times New Roman" w:eastAsia="仿宋_GB2312" w:cs="Times New Roman"/>
          <w:b/>
          <w:bCs w:val="0"/>
          <w:sz w:val="28"/>
          <w:szCs w:val="28"/>
        </w:rPr>
        <w:t>突发性环境污染事件报告</w:t>
      </w:r>
      <w:r>
        <w:rPr>
          <w:rFonts w:hint="eastAsia" w:ascii="Times New Roman" w:hAnsi="Times New Roman" w:eastAsia="仿宋_GB2312" w:cs="Times New Roman"/>
          <w:b/>
          <w:bCs w:val="0"/>
          <w:sz w:val="28"/>
          <w:szCs w:val="28"/>
        </w:rPr>
        <w:t>内容</w:t>
      </w:r>
      <w:bookmarkEnd w:id="312"/>
      <w:bookmarkEnd w:id="313"/>
      <w:bookmarkEnd w:id="314"/>
      <w:bookmarkEnd w:id="315"/>
    </w:p>
    <w:p>
      <w:pPr>
        <w:spacing w:line="560" w:lineRule="exact"/>
        <w:ind w:firstLine="630" w:firstLineChars="225"/>
        <w:rPr>
          <w:rFonts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w:t>
      </w:r>
      <w:r>
        <w:rPr>
          <w:rFonts w:ascii="Times New Roman" w:hAnsi="Times New Roman" w:eastAsia="仿宋_GB2312" w:cs="Times New Roman"/>
          <w:color w:val="auto"/>
          <w:kern w:val="0"/>
          <w:sz w:val="28"/>
          <w:szCs w:val="28"/>
          <w:lang w:val="en-US" w:eastAsia="zh-CN" w:bidi="ar-SA"/>
        </w:rPr>
        <w:t>初报可用电话直接报告，主要内容包括：环境事件的类型</w:t>
      </w:r>
      <w:r>
        <w:rPr>
          <w:rFonts w:hint="eastAsia" w:ascii="Times New Roman" w:hAnsi="Times New Roman" w:eastAsia="仿宋_GB2312" w:cs="Times New Roman"/>
          <w:color w:val="auto"/>
          <w:kern w:val="0"/>
          <w:sz w:val="28"/>
          <w:szCs w:val="28"/>
          <w:lang w:val="en-US" w:eastAsia="zh-CN" w:bidi="ar-SA"/>
        </w:rPr>
        <w:t>、</w:t>
      </w:r>
      <w:r>
        <w:rPr>
          <w:rFonts w:ascii="Times New Roman" w:hAnsi="Times New Roman" w:eastAsia="仿宋_GB2312" w:cs="Times New Roman"/>
          <w:color w:val="auto"/>
          <w:kern w:val="0"/>
          <w:sz w:val="28"/>
          <w:szCs w:val="28"/>
          <w:lang w:val="en-US" w:eastAsia="zh-CN" w:bidi="ar-SA"/>
        </w:rPr>
        <w:t>发生时间、地点、污染源、主要污染物质、人员</w:t>
      </w:r>
      <w:r>
        <w:rPr>
          <w:rFonts w:hint="eastAsia" w:ascii="Times New Roman" w:hAnsi="Times New Roman" w:eastAsia="仿宋_GB2312" w:cs="Times New Roman"/>
          <w:color w:val="auto"/>
          <w:kern w:val="0"/>
          <w:sz w:val="28"/>
          <w:szCs w:val="28"/>
          <w:lang w:val="en-US" w:eastAsia="zh-CN" w:bidi="ar-SA"/>
        </w:rPr>
        <w:t>有受伤</w:t>
      </w:r>
      <w:r>
        <w:rPr>
          <w:rFonts w:ascii="Times New Roman" w:hAnsi="Times New Roman" w:eastAsia="仿宋_GB2312" w:cs="Times New Roman"/>
          <w:color w:val="auto"/>
          <w:kern w:val="0"/>
          <w:sz w:val="28"/>
          <w:szCs w:val="28"/>
          <w:lang w:val="en-US" w:eastAsia="zh-CN" w:bidi="ar-SA"/>
        </w:rPr>
        <w:t>情况、事件潜在的危害程度、转化方式趋向等初步情况。</w:t>
      </w:r>
    </w:p>
    <w:p>
      <w:pPr>
        <w:spacing w:line="560" w:lineRule="exact"/>
        <w:ind w:firstLine="630" w:firstLineChars="225"/>
        <w:rPr>
          <w:rFonts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（2）</w:t>
      </w:r>
      <w:r>
        <w:rPr>
          <w:rFonts w:ascii="Times New Roman" w:hAnsi="Times New Roman" w:eastAsia="仿宋_GB2312" w:cs="Times New Roman"/>
          <w:color w:val="auto"/>
          <w:kern w:val="0"/>
          <w:sz w:val="28"/>
          <w:szCs w:val="28"/>
          <w:lang w:val="en-US" w:eastAsia="zh-CN" w:bidi="ar-SA"/>
        </w:rPr>
        <w:t>续报可通过电话或书面报告，在初报的基础上报告有关确切数据，事件发生的原因、过程、进展情况</w:t>
      </w:r>
      <w:r>
        <w:rPr>
          <w:rFonts w:hint="eastAsia" w:ascii="Times New Roman" w:hAnsi="Times New Roman" w:eastAsia="仿宋_GB2312" w:cs="Times New Roman"/>
          <w:color w:val="auto"/>
          <w:kern w:val="0"/>
          <w:sz w:val="28"/>
          <w:szCs w:val="28"/>
          <w:lang w:val="en-US" w:eastAsia="zh-CN" w:bidi="ar-SA"/>
        </w:rPr>
        <w:t>以</w:t>
      </w:r>
      <w:r>
        <w:rPr>
          <w:rFonts w:ascii="Times New Roman" w:hAnsi="Times New Roman" w:eastAsia="仿宋_GB2312" w:cs="Times New Roman"/>
          <w:color w:val="auto"/>
          <w:kern w:val="0"/>
          <w:sz w:val="28"/>
          <w:szCs w:val="28"/>
          <w:lang w:val="en-US" w:eastAsia="zh-CN" w:bidi="ar-SA"/>
        </w:rPr>
        <w:t>及采取的应急措施等情况。</w:t>
      </w:r>
    </w:p>
    <w:p>
      <w:pPr>
        <w:spacing w:line="560" w:lineRule="exact"/>
        <w:ind w:firstLine="630" w:firstLineChars="225"/>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（3）</w:t>
      </w:r>
      <w:r>
        <w:rPr>
          <w:rFonts w:ascii="Times New Roman" w:hAnsi="Times New Roman" w:eastAsia="仿宋_GB2312" w:cs="Times New Roman"/>
          <w:color w:val="auto"/>
          <w:kern w:val="0"/>
          <w:sz w:val="28"/>
          <w:szCs w:val="28"/>
          <w:lang w:val="en-US" w:eastAsia="zh-CN" w:bidi="ar-SA"/>
        </w:rPr>
        <w:t>结果报告采用书面报告，处理结果报告在初报和续报的基础上，报告处理事件的措施、过程和结果，事件潜在或间接的危害、遗留问题，参加处理工作的有关部门和工作内容。</w:t>
      </w:r>
    </w:p>
    <w:p>
      <w:pPr>
        <w:pStyle w:val="12"/>
        <w:spacing w:line="560" w:lineRule="exact"/>
        <w:rPr>
          <w:rFonts w:ascii="Times New Roman" w:hAnsi="Times New Roman" w:eastAsia="仿宋_GB2312" w:cs="Times New Roman"/>
          <w:b/>
          <w:bCs w:val="0"/>
          <w:sz w:val="28"/>
          <w:szCs w:val="28"/>
        </w:rPr>
      </w:pPr>
      <w:bookmarkStart w:id="316" w:name="_Toc402516938"/>
      <w:bookmarkStart w:id="317" w:name="_Toc10970"/>
      <w:bookmarkStart w:id="318" w:name="_Toc1219"/>
      <w:bookmarkStart w:id="319" w:name="_Toc25164"/>
      <w:r>
        <w:rPr>
          <w:rFonts w:ascii="Times New Roman" w:hAnsi="Times New Roman" w:eastAsia="仿宋_GB2312" w:cs="Times New Roman"/>
          <w:bCs w:val="0"/>
          <w:sz w:val="28"/>
          <w:szCs w:val="28"/>
        </w:rPr>
        <w:t>6.3</w:t>
      </w:r>
      <w:r>
        <w:rPr>
          <w:rFonts w:hint="eastAsia" w:ascii="Times New Roman" w:hAnsi="Times New Roman" w:eastAsia="仿宋_GB2312" w:cs="Times New Roman"/>
          <w:b/>
          <w:bCs w:val="0"/>
          <w:sz w:val="28"/>
          <w:szCs w:val="28"/>
        </w:rPr>
        <w:t>分</w:t>
      </w:r>
      <w:r>
        <w:rPr>
          <w:rFonts w:ascii="Times New Roman" w:hAnsi="Times New Roman" w:eastAsia="仿宋_GB2312" w:cs="Times New Roman"/>
          <w:b/>
          <w:bCs w:val="0"/>
          <w:sz w:val="28"/>
          <w:szCs w:val="28"/>
        </w:rPr>
        <w:t>组响应</w:t>
      </w:r>
      <w:bookmarkEnd w:id="316"/>
      <w:bookmarkEnd w:id="317"/>
      <w:bookmarkEnd w:id="318"/>
      <w:bookmarkEnd w:id="319"/>
    </w:p>
    <w:p>
      <w:pPr>
        <w:spacing w:line="560" w:lineRule="exact"/>
        <w:ind w:firstLine="630" w:firstLineChars="225"/>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依据突发性环境事件的类别、危害的程度、事件现场的位置及事件现场分析情况确定预案的响应级别：</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当发生较小</w:t>
      </w:r>
      <w:r>
        <w:rPr>
          <w:rFonts w:ascii="Times New Roman" w:hAnsi="Times New Roman" w:eastAsia="仿宋_GB2312" w:cs="Times New Roman"/>
          <w:color w:val="auto"/>
          <w:sz w:val="28"/>
          <w:szCs w:val="28"/>
        </w:rPr>
        <w:t>（Ⅲ级）</w:t>
      </w:r>
      <w:r>
        <w:rPr>
          <w:rFonts w:hint="eastAsia" w:ascii="Times New Roman" w:hAnsi="Times New Roman" w:eastAsia="仿宋_GB2312" w:cs="Times New Roman"/>
          <w:color w:val="auto"/>
          <w:sz w:val="28"/>
          <w:szCs w:val="28"/>
        </w:rPr>
        <w:t>环境事件时：由事件发生所在车间发布黄色预警，并由车间组织相关人员按照预案进行相应的处理。若本部门资源不足以进行应急处理时，应立即向生产科报告，生产科根据实际情况进行协调处理，并决定是否启动二级事件预警响应。</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当发生一般</w:t>
      </w:r>
      <w:r>
        <w:rPr>
          <w:rFonts w:ascii="Times New Roman" w:hAnsi="Times New Roman" w:eastAsia="仿宋_GB2312" w:cs="Times New Roman"/>
          <w:color w:val="auto"/>
          <w:sz w:val="28"/>
          <w:szCs w:val="28"/>
        </w:rPr>
        <w:t>（Ⅱ级）</w:t>
      </w:r>
      <w:r>
        <w:rPr>
          <w:rFonts w:hint="eastAsia" w:ascii="Times New Roman" w:hAnsi="Times New Roman" w:eastAsia="仿宋_GB2312" w:cs="Times New Roman"/>
          <w:color w:val="auto"/>
          <w:sz w:val="28"/>
          <w:szCs w:val="28"/>
        </w:rPr>
        <w:t>环境事件时：事件发生所在车间应立即向生产科报告，并由生产科发布启动橙色预警，同时，生产科应组织相关人员按照预案进行相应的处理。若本系统资源不足以进行应急处理时，应立即向公司</w:t>
      </w:r>
      <w:r>
        <w:rPr>
          <w:rFonts w:ascii="Times New Roman" w:hAnsi="Times New Roman" w:eastAsia="仿宋_GB2312" w:cs="Times New Roman"/>
          <w:color w:val="auto"/>
          <w:sz w:val="28"/>
          <w:szCs w:val="28"/>
        </w:rPr>
        <w:t>应急领导小组办公室</w:t>
      </w:r>
      <w:r>
        <w:rPr>
          <w:rFonts w:hint="eastAsia" w:ascii="Times New Roman" w:hAnsi="Times New Roman" w:eastAsia="仿宋_GB2312" w:cs="Times New Roman"/>
          <w:color w:val="auto"/>
          <w:sz w:val="28"/>
          <w:szCs w:val="28"/>
        </w:rPr>
        <w:t>（安环科）报告，安环科应立即启动公司一级事件预警响应，并组织相关进行救援。</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当发生重</w:t>
      </w:r>
      <w:r>
        <w:rPr>
          <w:rFonts w:ascii="Times New Roman" w:hAnsi="Times New Roman" w:eastAsia="仿宋_GB2312" w:cs="Times New Roman"/>
          <w:color w:val="auto"/>
          <w:sz w:val="28"/>
          <w:szCs w:val="28"/>
        </w:rPr>
        <w:t>大（Ⅰ级）</w:t>
      </w:r>
      <w:r>
        <w:rPr>
          <w:rFonts w:hint="eastAsia" w:ascii="Times New Roman" w:hAnsi="Times New Roman" w:eastAsia="仿宋_GB2312" w:cs="Times New Roman"/>
          <w:color w:val="auto"/>
          <w:sz w:val="28"/>
          <w:szCs w:val="28"/>
        </w:rPr>
        <w:t>环境事件时：事件发生所在车间应立即向公司</w:t>
      </w:r>
      <w:r>
        <w:rPr>
          <w:rFonts w:ascii="Times New Roman" w:hAnsi="Times New Roman" w:eastAsia="仿宋_GB2312" w:cs="Times New Roman"/>
          <w:color w:val="auto"/>
          <w:sz w:val="28"/>
          <w:szCs w:val="28"/>
        </w:rPr>
        <w:t>应急领导小组办公室</w:t>
      </w:r>
      <w:r>
        <w:rPr>
          <w:rFonts w:hint="eastAsia" w:ascii="Times New Roman" w:hAnsi="Times New Roman" w:eastAsia="仿宋_GB2312" w:cs="Times New Roman"/>
          <w:color w:val="auto"/>
          <w:sz w:val="28"/>
          <w:szCs w:val="28"/>
        </w:rPr>
        <w:t>（安环科）报告，安环科应立即启动公司红色预警，并组织相关人员按照应急预案进行相应的事件救援。</w:t>
      </w:r>
      <w:r>
        <w:rPr>
          <w:rFonts w:ascii="Times New Roman" w:hAnsi="Times New Roman" w:eastAsia="仿宋_GB2312" w:cs="Times New Roman"/>
          <w:color w:val="auto"/>
          <w:sz w:val="28"/>
          <w:szCs w:val="28"/>
        </w:rPr>
        <w:t>必要时，请求政府部门</w:t>
      </w:r>
      <w:r>
        <w:rPr>
          <w:rFonts w:hint="eastAsia" w:ascii="Times New Roman" w:hAnsi="Times New Roman" w:eastAsia="仿宋_GB2312" w:cs="Times New Roman"/>
          <w:color w:val="auto"/>
          <w:sz w:val="28"/>
          <w:szCs w:val="28"/>
        </w:rPr>
        <w:t>的</w:t>
      </w:r>
      <w:r>
        <w:rPr>
          <w:rFonts w:ascii="Times New Roman" w:hAnsi="Times New Roman" w:eastAsia="仿宋_GB2312" w:cs="Times New Roman"/>
          <w:color w:val="auto"/>
          <w:sz w:val="28"/>
          <w:szCs w:val="28"/>
        </w:rPr>
        <w:t>支援</w:t>
      </w:r>
      <w:r>
        <w:rPr>
          <w:rFonts w:hint="eastAsia" w:ascii="Times New Roman" w:hAnsi="Times New Roman" w:eastAsia="仿宋_GB2312" w:cs="Times New Roman"/>
          <w:color w:val="auto"/>
          <w:sz w:val="28"/>
          <w:szCs w:val="28"/>
        </w:rPr>
        <w:t>。</w:t>
      </w:r>
    </w:p>
    <w:p>
      <w:pPr>
        <w:pStyle w:val="12"/>
        <w:spacing w:line="560" w:lineRule="exact"/>
        <w:rPr>
          <w:rFonts w:ascii="Times New Roman" w:hAnsi="Times New Roman" w:eastAsia="仿宋_GB2312" w:cs="Times New Roman"/>
          <w:b/>
          <w:bCs w:val="0"/>
          <w:sz w:val="28"/>
          <w:szCs w:val="28"/>
        </w:rPr>
      </w:pPr>
      <w:bookmarkStart w:id="320" w:name="_Toc402516939"/>
      <w:bookmarkStart w:id="321" w:name="_Toc31940"/>
      <w:bookmarkStart w:id="322" w:name="_Toc24776"/>
      <w:bookmarkStart w:id="323" w:name="_Toc17435"/>
      <w:r>
        <w:rPr>
          <w:rFonts w:ascii="Times New Roman" w:hAnsi="Times New Roman" w:eastAsia="仿宋_GB2312" w:cs="Times New Roman"/>
          <w:bCs w:val="0"/>
          <w:sz w:val="28"/>
          <w:szCs w:val="28"/>
        </w:rPr>
        <w:t>6.4</w:t>
      </w:r>
      <w:r>
        <w:rPr>
          <w:rFonts w:ascii="Times New Roman" w:hAnsi="Times New Roman" w:eastAsia="仿宋_GB2312" w:cs="Times New Roman"/>
          <w:b/>
          <w:bCs w:val="0"/>
          <w:sz w:val="28"/>
          <w:szCs w:val="28"/>
        </w:rPr>
        <w:t>指挥和协调</w:t>
      </w:r>
      <w:bookmarkEnd w:id="320"/>
      <w:bookmarkEnd w:id="321"/>
      <w:bookmarkEnd w:id="322"/>
      <w:bookmarkEnd w:id="323"/>
    </w:p>
    <w:p>
      <w:pPr>
        <w:spacing w:line="560" w:lineRule="exact"/>
        <w:ind w:firstLine="630" w:firstLineChars="225"/>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根据突发性环境污染事件的级别，由不同级别的应急领导小组，负责指导、协调突发性环境污染事件的救援工作。</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当发生较小</w:t>
      </w:r>
      <w:r>
        <w:rPr>
          <w:rFonts w:ascii="Times New Roman" w:hAnsi="Times New Roman" w:eastAsia="仿宋_GB2312" w:cs="Times New Roman"/>
          <w:color w:val="auto"/>
          <w:sz w:val="28"/>
          <w:szCs w:val="28"/>
        </w:rPr>
        <w:t>（Ⅲ级）</w:t>
      </w:r>
      <w:r>
        <w:rPr>
          <w:rFonts w:hint="eastAsia" w:ascii="Times New Roman" w:hAnsi="Times New Roman" w:eastAsia="仿宋_GB2312" w:cs="Times New Roman"/>
          <w:color w:val="auto"/>
          <w:sz w:val="28"/>
          <w:szCs w:val="28"/>
        </w:rPr>
        <w:t>环境事件，由车间相关管理人员负责污染事件的预警发布和解除，人员、物资协调及事件救援工作。</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当发生一般</w:t>
      </w:r>
      <w:r>
        <w:rPr>
          <w:rFonts w:ascii="Times New Roman" w:hAnsi="Times New Roman" w:eastAsia="仿宋_GB2312" w:cs="Times New Roman"/>
          <w:color w:val="auto"/>
          <w:sz w:val="28"/>
          <w:szCs w:val="28"/>
        </w:rPr>
        <w:t>（Ⅱ级）</w:t>
      </w:r>
      <w:r>
        <w:rPr>
          <w:rFonts w:hint="eastAsia" w:ascii="Times New Roman" w:hAnsi="Times New Roman" w:eastAsia="仿宋_GB2312" w:cs="Times New Roman"/>
          <w:color w:val="auto"/>
          <w:sz w:val="28"/>
          <w:szCs w:val="28"/>
        </w:rPr>
        <w:t>突发环境事件，由生产科相关人员负责污染事件的预警发布和解除，人员、物资协调及事件救援工作。</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当发生重大（Ⅰ级）突发环境事件、由公司应急救援领导小组负责污染事件的预警发布和解除，人员、物资协调及事件救援工作。必要可邀请相关政府部门及相关专家参加。</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应急领导小组指挥和协调的主要内容包括：</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（1）提出现场应急行动原则要求；</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（2）负责通知各相关应急救援小组参加救援工作；</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（3）协调受威胁的单位的监控工作；</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（4）协调建立现场警戒区，确定重点防护区域；</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（5）向上级部门报告应急行动的进展情况。</w:t>
      </w:r>
    </w:p>
    <w:p>
      <w:pPr>
        <w:pStyle w:val="12"/>
        <w:spacing w:line="560" w:lineRule="exact"/>
        <w:rPr>
          <w:rFonts w:ascii="Times New Roman" w:hAnsi="Times New Roman" w:eastAsia="仿宋_GB2312" w:cs="Times New Roman"/>
          <w:b/>
          <w:bCs w:val="0"/>
          <w:sz w:val="28"/>
          <w:szCs w:val="28"/>
        </w:rPr>
      </w:pPr>
      <w:bookmarkStart w:id="324" w:name="_Toc402516940"/>
      <w:bookmarkStart w:id="325" w:name="_Toc6057"/>
      <w:bookmarkStart w:id="326" w:name="_Toc31820"/>
      <w:bookmarkStart w:id="327" w:name="_Toc31834"/>
      <w:r>
        <w:rPr>
          <w:rFonts w:ascii="Times New Roman" w:hAnsi="Times New Roman" w:eastAsia="仿宋_GB2312" w:cs="Times New Roman"/>
          <w:bCs w:val="0"/>
          <w:sz w:val="28"/>
          <w:szCs w:val="28"/>
        </w:rPr>
        <w:t>6.5</w:t>
      </w:r>
      <w:r>
        <w:rPr>
          <w:rFonts w:ascii="Times New Roman" w:hAnsi="Times New Roman" w:eastAsia="仿宋_GB2312" w:cs="Times New Roman"/>
          <w:b/>
          <w:bCs w:val="0"/>
          <w:sz w:val="28"/>
          <w:szCs w:val="28"/>
        </w:rPr>
        <w:t>现场处置</w:t>
      </w:r>
      <w:bookmarkEnd w:id="324"/>
      <w:bookmarkEnd w:id="325"/>
      <w:bookmarkEnd w:id="326"/>
      <w:bookmarkEnd w:id="327"/>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color w:val="auto"/>
          <w:sz w:val="28"/>
          <w:szCs w:val="28"/>
          <w:lang w:eastAsia="zh-CN"/>
        </w:rPr>
        <w:t>分单元分级处置：</w:t>
      </w:r>
    </w:p>
    <w:p>
      <w:pPr>
        <w:pStyle w:val="11"/>
        <w:numPr>
          <w:ilvl w:val="0"/>
          <w:numId w:val="2"/>
        </w:numPr>
        <w:spacing w:before="0" w:beforeAutospacing="0" w:after="0" w:afterAutospacing="0" w:line="560" w:lineRule="exact"/>
        <w:ind w:firstLine="560" w:firstLineChars="200"/>
        <w:textAlignment w:val="baseline"/>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硫酸钡生产单元：①当发生浓硫酸泄漏环境污染事故时，应立即</w:t>
      </w:r>
      <w:r>
        <w:rPr>
          <w:rFonts w:hint="default" w:ascii="Times New Roman" w:hAnsi="Times New Roman" w:eastAsia="仿宋_GB2312" w:cs="Times New Roman"/>
          <w:color w:val="auto"/>
          <w:sz w:val="28"/>
          <w:szCs w:val="28"/>
          <w:lang w:val="en-US" w:eastAsia="zh-CN"/>
        </w:rPr>
        <w:t>撤离</w:t>
      </w:r>
      <w:r>
        <w:rPr>
          <w:rFonts w:hint="eastAsia" w:ascii="Times New Roman" w:hAnsi="Times New Roman" w:eastAsia="仿宋_GB2312" w:cs="Times New Roman"/>
          <w:color w:val="auto"/>
          <w:sz w:val="28"/>
          <w:szCs w:val="28"/>
          <w:lang w:val="en-US" w:eastAsia="zh-CN"/>
        </w:rPr>
        <w:t>无关人员至安全</w:t>
      </w:r>
      <w:r>
        <w:rPr>
          <w:rFonts w:hint="default" w:ascii="Times New Roman" w:hAnsi="Times New Roman" w:eastAsia="仿宋_GB2312" w:cs="Times New Roman"/>
          <w:color w:val="auto"/>
          <w:sz w:val="28"/>
          <w:szCs w:val="28"/>
          <w:lang w:val="en-US" w:eastAsia="zh-CN"/>
        </w:rPr>
        <w:t>区域，应急处理人员戴正压自给式呼吸器，穿防酸碱工作服；切断泄漏源，防止进入下水道。可将泄漏液收集在可密闭容器中或用沙土、干燥石灰混合后回收，回收物应安全处置，可加入片碱—消石灰溶液中和；大量泄漏应构筑围堤或挖坑收集，残余物回收运至废物处理场所安全处置。</w:t>
      </w:r>
      <w:r>
        <w:rPr>
          <w:rFonts w:hint="eastAsia" w:ascii="Times New Roman" w:hAnsi="Times New Roman" w:eastAsia="仿宋_GB2312" w:cs="Times New Roman"/>
          <w:color w:val="auto"/>
          <w:sz w:val="28"/>
          <w:szCs w:val="28"/>
          <w:lang w:val="en-US" w:eastAsia="zh-CN"/>
        </w:rPr>
        <w:t>应急禁忌</w:t>
      </w:r>
      <w:r>
        <w:rPr>
          <w:rFonts w:hint="default" w:ascii="Times New Roman" w:hAnsi="Times New Roman" w:eastAsia="仿宋_GB2312" w:cs="Times New Roman"/>
          <w:color w:val="auto"/>
          <w:sz w:val="28"/>
          <w:szCs w:val="28"/>
          <w:lang w:val="en-US" w:eastAsia="zh-CN"/>
        </w:rPr>
        <w:t>——禁止用水，使用干粉、二氧化碳、砂土。</w:t>
      </w:r>
      <w:r>
        <w:rPr>
          <w:rFonts w:hint="eastAsia" w:ascii="Times New Roman" w:hAnsi="Times New Roman" w:eastAsia="仿宋_GB2312" w:cs="Times New Roman"/>
          <w:color w:val="auto"/>
          <w:sz w:val="28"/>
          <w:szCs w:val="28"/>
          <w:lang w:val="en-US" w:eastAsia="zh-CN"/>
        </w:rPr>
        <w:t>②当发生浓硫酸泄漏与硫化钠溶液反应环境污染事故时，应按以下方法处置：硫化氢对经过呼吸及皮肤渗透途径进入人体，浓度较低的硫化氢在体内大部分转变为硫酸盐和硫酸盐而解毒，但高浓度硫化氢对中枢神经系统有麻醉作用。吸入硫化氢后的症状是头昏、恶心、呕吐，吸入数秒后很快出现急性中毒，呼吸加快后呼吸麻痹而死亡。</w:t>
      </w:r>
      <w:r>
        <w:rPr>
          <w:rFonts w:hint="default" w:ascii="Times New Roman" w:hAnsi="Times New Roman" w:eastAsia="仿宋_GB2312" w:cs="Times New Roman"/>
          <w:color w:val="auto"/>
          <w:sz w:val="28"/>
          <w:szCs w:val="28"/>
          <w:lang w:val="en-US" w:eastAsia="zh-CN"/>
        </w:rPr>
        <w:t>应急处理方法</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一旦发生硫化氢泄漏应迅速撤离泄漏区，人员至上风处，并立即进行隔离。小泄漏时隔离150米，大泄漏时隔离300米，严格限制出入，切断火源。应急处理人员戴空气呼吸器，穿防化服。从上风处进入现场，尽可能切断泄漏源，合理通风，加速扩散。使用喷雾状水稀释、溶解并构筑围堤或挖坑收容产生的大量废水。</w:t>
      </w:r>
    </w:p>
    <w:p>
      <w:pPr>
        <w:pStyle w:val="11"/>
        <w:numPr>
          <w:ilvl w:val="0"/>
          <w:numId w:val="2"/>
        </w:numPr>
        <w:spacing w:before="0" w:beforeAutospacing="0" w:after="0" w:afterAutospacing="0" w:line="560" w:lineRule="exact"/>
        <w:ind w:firstLine="560" w:firstLineChars="200"/>
        <w:textAlignment w:val="baseline"/>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硝钡精制单元：</w:t>
      </w:r>
      <w:r>
        <w:rPr>
          <w:rFonts w:hint="eastAsia" w:ascii="仿宋_GB2312" w:hAnsi="仿宋_GB2312" w:eastAsia="仿宋_GB2312" w:cs="仿宋_GB2312"/>
          <w:color w:val="000000"/>
          <w:sz w:val="28"/>
          <w:szCs w:val="28"/>
          <w:lang w:val="en-US" w:eastAsia="zh-CN"/>
        </w:rPr>
        <w:t>硫化钡溶液储罐泄漏，现有收集装置和应急装置无法及时予以收集时，处置办法如下</w:t>
      </w:r>
      <w:r>
        <w:rPr>
          <w:rFonts w:hint="eastAsia" w:ascii="Times New Roman" w:hAnsi="Times New Roman" w:eastAsia="仿宋_GB2312" w:cs="Times New Roman"/>
          <w:color w:val="auto"/>
          <w:sz w:val="28"/>
          <w:szCs w:val="28"/>
          <w:lang w:val="en-US" w:eastAsia="zh-CN"/>
        </w:rPr>
        <w:t>：若发生泄漏，立即切断泄漏点，隔离泄漏污染区，限制出入。应急处理人员必须穿防酸碱工作服，佩戴防溅眼镜，不要直接接触泄漏物。将泄漏的硫化钡溶液收集至应急储罐，如大量泄漏无法完全收集，可将溶液排放至应急事故池。并实时监测排污口水质情况，主要监测指标包括：PH、S</w:t>
      </w:r>
      <w:r>
        <w:rPr>
          <w:rFonts w:hint="eastAsia" w:ascii="Times New Roman" w:hAnsi="Times New Roman" w:eastAsia="仿宋_GB2312" w:cs="Times New Roman"/>
          <w:color w:val="auto"/>
          <w:sz w:val="28"/>
          <w:szCs w:val="28"/>
          <w:vertAlign w:val="superscript"/>
          <w:lang w:val="en-US" w:eastAsia="zh-CN"/>
        </w:rPr>
        <w:t>2-</w:t>
      </w:r>
      <w:r>
        <w:rPr>
          <w:rFonts w:hint="eastAsia" w:ascii="Times New Roman" w:hAnsi="Times New Roman" w:eastAsia="仿宋_GB2312" w:cs="Times New Roman"/>
          <w:color w:val="auto"/>
          <w:sz w:val="28"/>
          <w:szCs w:val="28"/>
          <w:lang w:val="en-US" w:eastAsia="zh-CN"/>
        </w:rPr>
        <w:t>等。</w:t>
      </w:r>
    </w:p>
    <w:p>
      <w:pPr>
        <w:pStyle w:val="11"/>
        <w:numPr>
          <w:ilvl w:val="0"/>
          <w:numId w:val="2"/>
        </w:numPr>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硫化钠单元：①硫化钠成品泄漏处置方法：隔离泄漏污染区，周围设警告标志。急处理人员戴好防毒面具，穿化学防护服。不要直接接触泄漏物。避免扬尘，用洁净的铲子收集于干燥净洁有盖的容器中，运至废物处理场所。也可以用大量水冲洗，经稀释的洗液放入废水系统。如大量泄漏，收集回收或无害处理后废弃。</w:t>
      </w:r>
      <w:r>
        <w:rPr>
          <w:rFonts w:hint="eastAsia" w:ascii="仿宋_GB2312" w:hAnsi="仿宋_GB2312" w:eastAsia="仿宋_GB2312" w:cs="仿宋_GB2312"/>
          <w:color w:val="auto"/>
          <w:sz w:val="28"/>
          <w:szCs w:val="28"/>
          <w:lang w:val="en-US" w:eastAsia="zh-CN"/>
        </w:rPr>
        <w:t>②硫化钠溶液泄漏处理</w:t>
      </w:r>
      <w:r>
        <w:rPr>
          <w:rFonts w:hint="eastAsia" w:ascii="Times New Roman" w:hAnsi="Times New Roman" w:eastAsia="仿宋_GB2312" w:cs="Times New Roman"/>
          <w:color w:val="auto"/>
          <w:sz w:val="28"/>
          <w:szCs w:val="28"/>
          <w:lang w:val="en-US" w:eastAsia="zh-CN"/>
        </w:rPr>
        <w:t>方法：切断泄漏源，将泄漏硫化钠溶液收集至应急储罐，如大量泄漏不能收集，可将泄漏溶液通过管道排放至事故应急池收集。地面泄漏的硫化钠溶液造成硫化物污染的废水主要是碱性废水，可进行中和处理。在中和阶段，pH降低会有部分硫化氢逸散于大气中，同时利用中和反应产生的热量也会增加硫化氢的释放速度。水中硫化物包括溶解性的H</w:t>
      </w:r>
      <w:r>
        <w:rPr>
          <w:rFonts w:hint="eastAsia" w:ascii="Times New Roman" w:hAnsi="Times New Roman" w:eastAsia="仿宋_GB2312" w:cs="Times New Roman"/>
          <w:color w:val="auto"/>
          <w:sz w:val="28"/>
          <w:szCs w:val="28"/>
          <w:vertAlign w:val="subscript"/>
          <w:lang w:val="en-US" w:eastAsia="zh-CN"/>
        </w:rPr>
        <w:t>2</w:t>
      </w:r>
      <w:r>
        <w:rPr>
          <w:rFonts w:hint="eastAsia" w:ascii="Times New Roman" w:hAnsi="Times New Roman" w:eastAsia="仿宋_GB2312" w:cs="Times New Roman"/>
          <w:color w:val="auto"/>
          <w:sz w:val="28"/>
          <w:szCs w:val="28"/>
          <w:lang w:val="en-US" w:eastAsia="zh-CN"/>
        </w:rPr>
        <w:t>S、HS</w:t>
      </w:r>
      <w:r>
        <w:rPr>
          <w:rFonts w:hint="eastAsia" w:ascii="Times New Roman" w:hAnsi="Times New Roman" w:eastAsia="仿宋_GB2312" w:cs="Times New Roman"/>
          <w:color w:val="auto"/>
          <w:sz w:val="28"/>
          <w:szCs w:val="28"/>
          <w:vertAlign w:val="superscript"/>
          <w:lang w:val="en-US" w:eastAsia="zh-CN"/>
        </w:rPr>
        <w:t>-</w:t>
      </w:r>
      <w:r>
        <w:rPr>
          <w:rFonts w:hint="eastAsia" w:ascii="Times New Roman" w:hAnsi="Times New Roman" w:eastAsia="仿宋_GB2312" w:cs="Times New Roman"/>
          <w:color w:val="auto"/>
          <w:sz w:val="28"/>
          <w:szCs w:val="28"/>
          <w:lang w:val="en-US" w:eastAsia="zh-CN"/>
        </w:rPr>
        <w:t>、S</w:t>
      </w:r>
      <w:r>
        <w:rPr>
          <w:rFonts w:hint="eastAsia" w:ascii="Times New Roman" w:hAnsi="Times New Roman" w:eastAsia="仿宋_GB2312" w:cs="Times New Roman"/>
          <w:color w:val="auto"/>
          <w:sz w:val="28"/>
          <w:szCs w:val="28"/>
          <w:vertAlign w:val="superscript"/>
          <w:lang w:val="en-US" w:eastAsia="zh-CN"/>
        </w:rPr>
        <w:t>2-</w:t>
      </w:r>
      <w:r>
        <w:rPr>
          <w:rFonts w:hint="eastAsia" w:ascii="Times New Roman" w:hAnsi="Times New Roman" w:eastAsia="仿宋_GB2312" w:cs="Times New Roman"/>
          <w:color w:val="auto"/>
          <w:sz w:val="28"/>
          <w:szCs w:val="28"/>
          <w:lang w:val="en-US" w:eastAsia="zh-CN"/>
        </w:rPr>
        <w:t>以及存在于悬浮物中的可溶性硫化物、酸可溶性金属硫化物以及未电离的无机、有机类硫化物。含硫化物的水多呈现黑色，且有刺激性的臭味，这主要是由于H</w:t>
      </w:r>
      <w:r>
        <w:rPr>
          <w:rFonts w:hint="eastAsia" w:ascii="Times New Roman" w:hAnsi="Times New Roman" w:eastAsia="仿宋_GB2312" w:cs="Times New Roman"/>
          <w:color w:val="auto"/>
          <w:sz w:val="28"/>
          <w:szCs w:val="28"/>
          <w:vertAlign w:val="subscript"/>
          <w:lang w:val="en-US" w:eastAsia="zh-CN"/>
        </w:rPr>
        <w:t>2</w:t>
      </w:r>
      <w:r>
        <w:rPr>
          <w:rFonts w:hint="eastAsia" w:ascii="Times New Roman" w:hAnsi="Times New Roman" w:eastAsia="仿宋_GB2312" w:cs="Times New Roman"/>
          <w:color w:val="auto"/>
          <w:sz w:val="28"/>
          <w:szCs w:val="28"/>
          <w:lang w:val="en-US" w:eastAsia="zh-CN"/>
        </w:rPr>
        <w:t>S气体不断从水中释放所致。在空气中有8μg/m</w:t>
      </w:r>
      <w:r>
        <w:rPr>
          <w:rFonts w:hint="eastAsia" w:ascii="Times New Roman" w:hAnsi="Times New Roman" w:eastAsia="仿宋_GB2312" w:cs="Times New Roman"/>
          <w:color w:val="auto"/>
          <w:sz w:val="28"/>
          <w:szCs w:val="28"/>
          <w:vertAlign w:val="superscript"/>
          <w:lang w:val="en-US" w:eastAsia="zh-CN"/>
        </w:rPr>
        <w:t>3</w:t>
      </w:r>
      <w:r>
        <w:rPr>
          <w:rFonts w:hint="eastAsia" w:ascii="Times New Roman" w:hAnsi="Times New Roman" w:eastAsia="仿宋_GB2312" w:cs="Times New Roman"/>
          <w:color w:val="auto"/>
          <w:sz w:val="28"/>
          <w:szCs w:val="28"/>
          <w:lang w:val="en-US" w:eastAsia="zh-CN"/>
        </w:rPr>
        <w:t>的H</w:t>
      </w:r>
      <w:r>
        <w:rPr>
          <w:rFonts w:hint="eastAsia" w:ascii="Times New Roman" w:hAnsi="Times New Roman" w:eastAsia="仿宋_GB2312" w:cs="Times New Roman"/>
          <w:color w:val="auto"/>
          <w:sz w:val="28"/>
          <w:szCs w:val="28"/>
          <w:vertAlign w:val="subscript"/>
          <w:lang w:val="en-US" w:eastAsia="zh-CN"/>
        </w:rPr>
        <w:t>2</w:t>
      </w:r>
      <w:r>
        <w:rPr>
          <w:rFonts w:hint="eastAsia" w:ascii="Times New Roman" w:hAnsi="Times New Roman" w:eastAsia="仿宋_GB2312" w:cs="Times New Roman"/>
          <w:color w:val="auto"/>
          <w:sz w:val="28"/>
          <w:szCs w:val="28"/>
          <w:lang w:val="en-US" w:eastAsia="zh-CN"/>
        </w:rPr>
        <w:t>S便可使人的嗅觉敏感，水中H</w:t>
      </w:r>
      <w:r>
        <w:rPr>
          <w:rFonts w:hint="eastAsia" w:ascii="Times New Roman" w:hAnsi="Times New Roman" w:eastAsia="仿宋_GB2312" w:cs="Times New Roman"/>
          <w:color w:val="auto"/>
          <w:sz w:val="28"/>
          <w:szCs w:val="28"/>
          <w:vertAlign w:val="subscript"/>
          <w:lang w:val="en-US" w:eastAsia="zh-CN"/>
        </w:rPr>
        <w:t>2</w:t>
      </w:r>
      <w:r>
        <w:rPr>
          <w:rFonts w:hint="eastAsia" w:ascii="Times New Roman" w:hAnsi="Times New Roman" w:eastAsia="仿宋_GB2312" w:cs="Times New Roman"/>
          <w:color w:val="auto"/>
          <w:sz w:val="28"/>
          <w:szCs w:val="28"/>
          <w:lang w:val="en-US" w:eastAsia="zh-CN"/>
        </w:rPr>
        <w:t>S的阈值为0.035μg/L。水中的硫化物容易水解，以H</w:t>
      </w:r>
      <w:r>
        <w:rPr>
          <w:rFonts w:hint="eastAsia" w:ascii="Times New Roman" w:hAnsi="Times New Roman" w:eastAsia="仿宋_GB2312" w:cs="Times New Roman"/>
          <w:color w:val="auto"/>
          <w:sz w:val="28"/>
          <w:szCs w:val="28"/>
          <w:vertAlign w:val="subscript"/>
          <w:lang w:val="en-US" w:eastAsia="zh-CN"/>
        </w:rPr>
        <w:t>2</w:t>
      </w:r>
      <w:r>
        <w:rPr>
          <w:rFonts w:hint="eastAsia" w:ascii="Times New Roman" w:hAnsi="Times New Roman" w:eastAsia="仿宋_GB2312" w:cs="Times New Roman"/>
          <w:color w:val="auto"/>
          <w:sz w:val="28"/>
          <w:szCs w:val="28"/>
          <w:lang w:val="en-US" w:eastAsia="zh-CN"/>
        </w:rPr>
        <w:t>S形式释放到空气中，被人大量吸收后马上恶心呕吐，甚至会呼吸困难、窒息等，发生强烈的致毒感。如果空气中达到15～30mg/m</w:t>
      </w:r>
      <w:r>
        <w:rPr>
          <w:rFonts w:hint="eastAsia" w:ascii="Times New Roman" w:hAnsi="Times New Roman" w:eastAsia="仿宋_GB2312" w:cs="Times New Roman"/>
          <w:color w:val="auto"/>
          <w:sz w:val="28"/>
          <w:szCs w:val="28"/>
          <w:vertAlign w:val="superscript"/>
          <w:lang w:val="en-US" w:eastAsia="zh-CN"/>
        </w:rPr>
        <w:t>3</w:t>
      </w:r>
      <w:r>
        <w:rPr>
          <w:rFonts w:hint="eastAsia" w:ascii="Times New Roman" w:hAnsi="Times New Roman" w:eastAsia="仿宋_GB2312" w:cs="Times New Roman"/>
          <w:color w:val="auto"/>
          <w:sz w:val="28"/>
          <w:szCs w:val="28"/>
          <w:lang w:val="en-US" w:eastAsia="zh-CN"/>
        </w:rPr>
        <w:t>，会导致眼膜发炎，视神经受到损害。逸散于空气中的H</w:t>
      </w:r>
      <w:r>
        <w:rPr>
          <w:rFonts w:hint="eastAsia" w:ascii="Times New Roman" w:hAnsi="Times New Roman" w:eastAsia="仿宋_GB2312" w:cs="Times New Roman"/>
          <w:color w:val="auto"/>
          <w:sz w:val="28"/>
          <w:szCs w:val="28"/>
          <w:vertAlign w:val="subscript"/>
          <w:lang w:val="en-US" w:eastAsia="zh-CN"/>
        </w:rPr>
        <w:t>2</w:t>
      </w:r>
      <w:r>
        <w:rPr>
          <w:rFonts w:hint="eastAsia" w:ascii="Times New Roman" w:hAnsi="Times New Roman" w:eastAsia="仿宋_GB2312" w:cs="Times New Roman"/>
          <w:color w:val="auto"/>
          <w:sz w:val="28"/>
          <w:szCs w:val="28"/>
          <w:lang w:val="en-US" w:eastAsia="zh-CN"/>
        </w:rPr>
        <w:t>S长期被人吸入体内，可与人体内细胞色素、氧化酶及人体蛋白、氨基酸中的二硫键（-S-S-）作用，影响细胞的氧化过程，造成细胞缺氧，危及人的生命。如果长期饮用含硫化物较高的水，会造成味觉迟钝、食欲减退、体重减轻、毛发生长不良，严重时发生衰竭和死亡。硫化氢在空气中大量释放，会污染空气而扰民。可立即用氯化法消除硫化物污染，也是有效方法之一。此外，在硫化物污染的废水中加入铁或无毒的铁盐（如硫酸铁、氯化铁等），经过2小时曝气后，产生了活性氢氧化铁，可将硫化物以硫化铁沉淀的形式除去。</w:t>
      </w:r>
    </w:p>
    <w:p>
      <w:pPr>
        <w:pStyle w:val="11"/>
        <w:spacing w:before="0" w:beforeAutospacing="0" w:after="0" w:afterAutospacing="0" w:line="560" w:lineRule="exact"/>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lang w:val="en-US" w:eastAsia="zh-CN"/>
        </w:rPr>
        <w:t xml:space="preserve">    </w:t>
      </w:r>
      <w:r>
        <w:rPr>
          <w:rFonts w:hint="eastAsia" w:ascii="Times New Roman" w:hAnsi="Times New Roman" w:eastAsia="仿宋_GB2312" w:cs="Times New Roman"/>
          <w:color w:val="auto"/>
          <w:sz w:val="28"/>
          <w:szCs w:val="28"/>
        </w:rPr>
        <w:t>各应急救援小组在接到应急领导小组的救援通知后，应立即组织相关救援人员和救援物资赶赴事发现场待命，并在应急救援小组的统一指挥下，按照应急小组确定的救援方案，根据各自的职能分工，相互协同，密切配合，共同实施应急救援行动。</w:t>
      </w:r>
    </w:p>
    <w:p>
      <w:pPr>
        <w:pStyle w:val="12"/>
        <w:spacing w:line="560" w:lineRule="exact"/>
        <w:rPr>
          <w:rFonts w:ascii="Times New Roman" w:hAnsi="Times New Roman" w:eastAsia="仿宋_GB2312" w:cs="Times New Roman"/>
          <w:b/>
          <w:bCs w:val="0"/>
          <w:sz w:val="28"/>
          <w:szCs w:val="28"/>
        </w:rPr>
      </w:pPr>
      <w:bookmarkStart w:id="328" w:name="_Toc402516941"/>
      <w:bookmarkStart w:id="329" w:name="_Toc25533"/>
      <w:bookmarkStart w:id="330" w:name="_Toc4605"/>
      <w:bookmarkStart w:id="331" w:name="_Toc31306"/>
      <w:r>
        <w:rPr>
          <w:rFonts w:ascii="Times New Roman" w:hAnsi="Times New Roman" w:eastAsia="仿宋_GB2312" w:cs="Times New Roman"/>
          <w:bCs w:val="0"/>
          <w:sz w:val="28"/>
          <w:szCs w:val="28"/>
        </w:rPr>
        <w:t>6.5.1</w:t>
      </w:r>
      <w:r>
        <w:rPr>
          <w:rFonts w:ascii="Times New Roman" w:hAnsi="Times New Roman" w:eastAsia="仿宋_GB2312" w:cs="Times New Roman"/>
          <w:b/>
          <w:bCs w:val="0"/>
          <w:sz w:val="28"/>
          <w:szCs w:val="28"/>
        </w:rPr>
        <w:t>应急监测</w:t>
      </w:r>
      <w:bookmarkEnd w:id="328"/>
      <w:bookmarkEnd w:id="329"/>
      <w:bookmarkEnd w:id="330"/>
      <w:bookmarkEnd w:id="331"/>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color w:val="auto"/>
          <w:sz w:val="28"/>
          <w:szCs w:val="28"/>
          <w:lang w:eastAsia="zh-CN"/>
        </w:rPr>
        <w:t>应急监测因子包括：稀碱液储罐发生泄漏，可能有部分碱液流入市政排污管网，事故发生后应立即联系富平县环境监测站对排污口实施监测，监测内容主要包括水质的</w:t>
      </w:r>
      <w:r>
        <w:rPr>
          <w:rFonts w:hint="eastAsia" w:ascii="Times New Roman" w:hAnsi="Times New Roman" w:eastAsia="仿宋_GB2312" w:cs="Times New Roman"/>
          <w:color w:val="auto"/>
          <w:sz w:val="28"/>
          <w:szCs w:val="28"/>
          <w:lang w:val="en-US" w:eastAsia="zh-CN"/>
        </w:rPr>
        <w:t>PH和S</w:t>
      </w:r>
      <w:r>
        <w:rPr>
          <w:rFonts w:hint="eastAsia" w:ascii="Times New Roman" w:hAnsi="Times New Roman" w:eastAsia="仿宋_GB2312" w:cs="Times New Roman"/>
          <w:color w:val="auto"/>
          <w:sz w:val="28"/>
          <w:szCs w:val="28"/>
          <w:vertAlign w:val="superscript"/>
          <w:lang w:val="en-US" w:eastAsia="zh-CN"/>
        </w:rPr>
        <w:t>2-</w:t>
      </w:r>
      <w:r>
        <w:rPr>
          <w:rFonts w:hint="eastAsia" w:ascii="Times New Roman" w:hAnsi="Times New Roman" w:eastAsia="仿宋_GB2312" w:cs="Times New Roman"/>
          <w:color w:val="auto"/>
          <w:sz w:val="28"/>
          <w:szCs w:val="28"/>
          <w:lang w:val="en-US" w:eastAsia="zh-CN"/>
        </w:rPr>
        <w:t>等指标；废气处置装备泄露发生事故的原因主要有以下几个： ①废气处理系统在出现故障、设备开车、停车检修时，未经处理的废气排入大气环境中； ②生产过程中由于设备老化、腐蚀、失误操作等原因造成车间废气浓度超标； ③厂内突然停电，废气处理系统停止工作，致使废气不能得到及时处理而造成事故排放； ④对废气治理措施疏于管理，未及时清灰，使废气治理措施处理效率降低造成废气浓度超标； ⑤管理人员的疏忽和失职。应急监测主要包括：烟气SO</w:t>
      </w:r>
      <w:r>
        <w:rPr>
          <w:rFonts w:hint="eastAsia" w:ascii="Times New Roman" w:hAnsi="Times New Roman" w:eastAsia="仿宋_GB2312" w:cs="Times New Roman"/>
          <w:color w:val="auto"/>
          <w:sz w:val="28"/>
          <w:szCs w:val="28"/>
          <w:vertAlign w:val="subscript"/>
          <w:lang w:val="en-US" w:eastAsia="zh-CN"/>
        </w:rPr>
        <w:t>2</w:t>
      </w:r>
      <w:r>
        <w:rPr>
          <w:rFonts w:hint="eastAsia" w:ascii="Times New Roman" w:hAnsi="Times New Roman" w:eastAsia="仿宋_GB2312" w:cs="Times New Roman"/>
          <w:color w:val="auto"/>
          <w:sz w:val="28"/>
          <w:szCs w:val="28"/>
          <w:lang w:val="en-US" w:eastAsia="zh-CN"/>
        </w:rPr>
        <w:t>、NO</w:t>
      </w:r>
      <w:r>
        <w:rPr>
          <w:rFonts w:hint="eastAsia" w:ascii="Times New Roman" w:hAnsi="Times New Roman" w:eastAsia="仿宋_GB2312" w:cs="Times New Roman"/>
          <w:color w:val="auto"/>
          <w:sz w:val="28"/>
          <w:szCs w:val="28"/>
          <w:vertAlign w:val="subscript"/>
          <w:lang w:val="en-US" w:eastAsia="zh-CN"/>
        </w:rPr>
        <w:t>X</w:t>
      </w:r>
      <w:r>
        <w:rPr>
          <w:rFonts w:hint="eastAsia" w:ascii="Times New Roman" w:hAnsi="Times New Roman" w:eastAsia="仿宋_GB2312" w:cs="Times New Roman"/>
          <w:color w:val="auto"/>
          <w:sz w:val="28"/>
          <w:szCs w:val="28"/>
          <w:lang w:val="en-US" w:eastAsia="zh-CN"/>
        </w:rPr>
        <w:t>以及颗粒物等指标。</w:t>
      </w:r>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环境监测组应立即会同现场指挥部和事件责任单位进行紧急磋商，迅速分析、收集和汇总事件发生和危害情况，第一时间开展应急监测，及时评估事件的性质和危害程度。必要时，可邀请政府环保部门协助进行监测。</w:t>
      </w:r>
    </w:p>
    <w:p>
      <w:pPr>
        <w:pStyle w:val="12"/>
        <w:spacing w:line="560" w:lineRule="exact"/>
        <w:rPr>
          <w:rFonts w:ascii="Times New Roman" w:hAnsi="Times New Roman" w:eastAsia="仿宋_GB2312" w:cs="Times New Roman"/>
          <w:b/>
          <w:bCs w:val="0"/>
          <w:sz w:val="28"/>
          <w:szCs w:val="28"/>
        </w:rPr>
      </w:pPr>
      <w:bookmarkStart w:id="332" w:name="_Toc402516942"/>
      <w:bookmarkStart w:id="333" w:name="_Toc32037"/>
      <w:bookmarkStart w:id="334" w:name="_Toc29538"/>
      <w:bookmarkStart w:id="335" w:name="_Toc3430"/>
      <w:r>
        <w:rPr>
          <w:rFonts w:ascii="Times New Roman" w:hAnsi="Times New Roman" w:eastAsia="仿宋_GB2312" w:cs="Times New Roman"/>
          <w:bCs w:val="0"/>
          <w:sz w:val="28"/>
          <w:szCs w:val="28"/>
        </w:rPr>
        <w:t>6.5.2</w:t>
      </w:r>
      <w:r>
        <w:rPr>
          <w:rFonts w:ascii="Times New Roman" w:hAnsi="Times New Roman" w:eastAsia="仿宋_GB2312" w:cs="Times New Roman"/>
          <w:b/>
          <w:bCs w:val="0"/>
          <w:sz w:val="28"/>
          <w:szCs w:val="28"/>
        </w:rPr>
        <w:t>控制污染源</w:t>
      </w:r>
      <w:bookmarkEnd w:id="332"/>
      <w:bookmarkEnd w:id="333"/>
      <w:bookmarkEnd w:id="334"/>
      <w:bookmarkEnd w:id="335"/>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抢险抢修组应立即会同现场指挥部和事件责任单位进行紧急磋商，尽快停止污染物的继续排放。尽可能控制和缩小已排放污染物扩散、蔓延的范围，避免事态扩大，把突发环境事件危害降低到最小程度。</w:t>
      </w:r>
    </w:p>
    <w:p>
      <w:pPr>
        <w:pStyle w:val="12"/>
        <w:spacing w:line="560" w:lineRule="exact"/>
        <w:rPr>
          <w:rFonts w:ascii="Times New Roman" w:hAnsi="Times New Roman" w:eastAsia="仿宋_GB2312" w:cs="Times New Roman"/>
          <w:b/>
          <w:bCs w:val="0"/>
          <w:sz w:val="28"/>
          <w:szCs w:val="28"/>
        </w:rPr>
      </w:pPr>
      <w:bookmarkStart w:id="336" w:name="_Toc402516943"/>
      <w:bookmarkStart w:id="337" w:name="_Toc31794"/>
      <w:bookmarkStart w:id="338" w:name="_Toc5688"/>
      <w:bookmarkStart w:id="339" w:name="_Toc27257"/>
      <w:r>
        <w:rPr>
          <w:rFonts w:ascii="Times New Roman" w:hAnsi="Times New Roman" w:eastAsia="仿宋_GB2312" w:cs="Times New Roman"/>
          <w:bCs w:val="0"/>
          <w:sz w:val="28"/>
          <w:szCs w:val="28"/>
        </w:rPr>
        <w:t>6.5.3</w:t>
      </w:r>
      <w:r>
        <w:rPr>
          <w:rFonts w:ascii="Times New Roman" w:hAnsi="Times New Roman" w:eastAsia="仿宋_GB2312" w:cs="Times New Roman"/>
          <w:b/>
          <w:bCs w:val="0"/>
          <w:sz w:val="28"/>
          <w:szCs w:val="28"/>
        </w:rPr>
        <w:t>避免人员伤亡</w:t>
      </w:r>
      <w:bookmarkEnd w:id="336"/>
      <w:bookmarkEnd w:id="337"/>
      <w:bookmarkEnd w:id="338"/>
      <w:bookmarkEnd w:id="339"/>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事件救援行动的主要原则是采取一切有效措施，避免人员伤亡，确保生命财产安全。对于可能给周围环境或流域造成影响和损害的突发性环境事件，应尽快通知相关政府部门采取防范措施，避免污染扩大。</w:t>
      </w:r>
    </w:p>
    <w:p>
      <w:pPr>
        <w:pStyle w:val="12"/>
        <w:spacing w:line="560" w:lineRule="exact"/>
        <w:rPr>
          <w:rFonts w:ascii="Times New Roman" w:hAnsi="Times New Roman" w:eastAsia="仿宋_GB2312" w:cs="Times New Roman"/>
          <w:b/>
          <w:bCs w:val="0"/>
          <w:sz w:val="28"/>
          <w:szCs w:val="28"/>
        </w:rPr>
      </w:pPr>
      <w:bookmarkStart w:id="340" w:name="_Toc402516944"/>
      <w:bookmarkStart w:id="341" w:name="_Toc4266"/>
      <w:bookmarkStart w:id="342" w:name="_Toc3415"/>
      <w:bookmarkStart w:id="343" w:name="_Toc6268"/>
      <w:r>
        <w:rPr>
          <w:rFonts w:ascii="Times New Roman" w:hAnsi="Times New Roman" w:eastAsia="仿宋_GB2312" w:cs="Times New Roman"/>
          <w:bCs w:val="0"/>
          <w:sz w:val="28"/>
          <w:szCs w:val="28"/>
        </w:rPr>
        <w:t>6.5.4</w:t>
      </w:r>
      <w:r>
        <w:rPr>
          <w:rFonts w:ascii="Times New Roman" w:hAnsi="Times New Roman" w:eastAsia="仿宋_GB2312" w:cs="Times New Roman"/>
          <w:b/>
          <w:bCs w:val="0"/>
          <w:sz w:val="28"/>
          <w:szCs w:val="28"/>
        </w:rPr>
        <w:t>科学应对</w:t>
      </w:r>
      <w:bookmarkEnd w:id="340"/>
      <w:bookmarkEnd w:id="341"/>
      <w:bookmarkEnd w:id="342"/>
      <w:bookmarkEnd w:id="343"/>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在应急处置过程中要充分发挥专家技术组的作用，在事件的不同阶段，分别立足于控制、减少、彻底消除污染危害，借鉴以往成功处置经验或成熟处置方案，科学制定应急处置方案，避免遗留环境隐患。</w:t>
      </w:r>
    </w:p>
    <w:p>
      <w:pPr>
        <w:pStyle w:val="12"/>
        <w:spacing w:line="560" w:lineRule="exact"/>
        <w:rPr>
          <w:rFonts w:ascii="Times New Roman" w:hAnsi="Times New Roman" w:eastAsia="仿宋_GB2312" w:cs="Times New Roman"/>
          <w:b/>
          <w:bCs w:val="0"/>
          <w:sz w:val="28"/>
          <w:szCs w:val="28"/>
        </w:rPr>
      </w:pPr>
      <w:bookmarkStart w:id="344" w:name="_Toc402516945"/>
      <w:bookmarkStart w:id="345" w:name="_Toc1049"/>
      <w:bookmarkStart w:id="346" w:name="_Toc11018"/>
      <w:bookmarkStart w:id="347" w:name="_Toc25973"/>
      <w:r>
        <w:rPr>
          <w:rFonts w:ascii="Times New Roman" w:hAnsi="Times New Roman" w:eastAsia="仿宋_GB2312" w:cs="Times New Roman"/>
          <w:bCs w:val="0"/>
          <w:sz w:val="28"/>
          <w:szCs w:val="28"/>
        </w:rPr>
        <w:t>6.5.5</w:t>
      </w:r>
      <w:r>
        <w:rPr>
          <w:rFonts w:ascii="Times New Roman" w:hAnsi="Times New Roman" w:eastAsia="仿宋_GB2312" w:cs="Times New Roman"/>
          <w:b/>
          <w:bCs w:val="0"/>
          <w:sz w:val="28"/>
          <w:szCs w:val="28"/>
        </w:rPr>
        <w:t>开展事件调查</w:t>
      </w:r>
      <w:bookmarkEnd w:id="344"/>
      <w:bookmarkEnd w:id="345"/>
      <w:bookmarkEnd w:id="346"/>
      <w:bookmarkEnd w:id="347"/>
    </w:p>
    <w:p>
      <w:pPr>
        <w:pStyle w:val="11"/>
        <w:spacing w:before="0" w:beforeAutospacing="0" w:after="0" w:afterAutospacing="0" w:line="560" w:lineRule="exact"/>
        <w:ind w:firstLine="560" w:firstLineChars="200"/>
        <w:textAlignment w:val="baseline"/>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在进行现场应急处置的同时，事件调查组应当抓紧协助进行现场调查取证工作，全面收集和保护有关事件发生的原因、危害及其损失等方面的证据和资料。</w:t>
      </w:r>
    </w:p>
    <w:p>
      <w:pPr>
        <w:pStyle w:val="12"/>
        <w:spacing w:line="560" w:lineRule="exact"/>
        <w:rPr>
          <w:rFonts w:ascii="Times New Roman" w:hAnsi="Times New Roman" w:eastAsia="仿宋_GB2312" w:cs="Times New Roman"/>
          <w:b/>
          <w:bCs w:val="0"/>
          <w:sz w:val="28"/>
          <w:szCs w:val="28"/>
        </w:rPr>
      </w:pPr>
      <w:bookmarkStart w:id="348" w:name="_Toc402516946"/>
      <w:bookmarkStart w:id="349" w:name="_Toc9783"/>
      <w:bookmarkStart w:id="350" w:name="_Toc8941"/>
      <w:bookmarkStart w:id="351" w:name="_Toc17778"/>
      <w:r>
        <w:rPr>
          <w:rFonts w:ascii="Times New Roman" w:hAnsi="Times New Roman" w:eastAsia="仿宋_GB2312" w:cs="Times New Roman"/>
          <w:bCs w:val="0"/>
          <w:sz w:val="28"/>
          <w:szCs w:val="28"/>
        </w:rPr>
        <w:t>6.6</w:t>
      </w:r>
      <w:r>
        <w:rPr>
          <w:rFonts w:ascii="Times New Roman" w:hAnsi="Times New Roman" w:eastAsia="仿宋_GB2312" w:cs="Times New Roman"/>
          <w:b/>
          <w:bCs w:val="0"/>
          <w:sz w:val="28"/>
          <w:szCs w:val="28"/>
        </w:rPr>
        <w:t>信息发布</w:t>
      </w:r>
      <w:bookmarkEnd w:id="348"/>
      <w:bookmarkEnd w:id="349"/>
      <w:bookmarkEnd w:id="350"/>
      <w:bookmarkEnd w:id="351"/>
    </w:p>
    <w:p>
      <w:pPr>
        <w:spacing w:line="560" w:lineRule="exact"/>
      </w:pPr>
      <w:r>
        <w:t> </w:t>
      </w:r>
      <w:r>
        <w:rPr>
          <w:rFonts w:hint="eastAsia"/>
          <w:lang w:val="en-US" w:eastAsia="zh-CN"/>
        </w:rPr>
        <w:t xml:space="preserve">    </w:t>
      </w:r>
      <w:r>
        <w:rPr>
          <w:rFonts w:hint="eastAsia" w:ascii="Times New Roman" w:hAnsi="Times New Roman" w:eastAsia="仿宋_GB2312" w:cs="Times New Roman"/>
          <w:color w:val="auto"/>
          <w:kern w:val="0"/>
          <w:sz w:val="28"/>
          <w:szCs w:val="28"/>
          <w:lang w:val="en-US" w:eastAsia="zh-CN" w:bidi="ar-SA"/>
        </w:rPr>
        <w:t>信息发布由各级领导小组负责，在突发性环境污染事件发生后，由应急领导小组统一对外及时发布准确、权威的信息。</w:t>
      </w:r>
    </w:p>
    <w:p>
      <w:pPr>
        <w:pStyle w:val="12"/>
        <w:spacing w:line="560" w:lineRule="exact"/>
        <w:rPr>
          <w:rFonts w:ascii="Times New Roman" w:hAnsi="Times New Roman" w:eastAsia="仿宋_GB2312" w:cs="Times New Roman"/>
          <w:b/>
          <w:bCs w:val="0"/>
          <w:sz w:val="28"/>
          <w:szCs w:val="28"/>
        </w:rPr>
      </w:pPr>
      <w:bookmarkStart w:id="352" w:name="_Toc402516947"/>
      <w:bookmarkStart w:id="353" w:name="_Toc24013"/>
      <w:bookmarkStart w:id="354" w:name="_Toc31163"/>
      <w:bookmarkStart w:id="355" w:name="_Toc11501"/>
      <w:r>
        <w:rPr>
          <w:rFonts w:ascii="Times New Roman" w:hAnsi="Times New Roman" w:eastAsia="仿宋_GB2312" w:cs="Times New Roman"/>
          <w:bCs w:val="0"/>
          <w:sz w:val="28"/>
          <w:szCs w:val="28"/>
        </w:rPr>
        <w:t>6.7</w:t>
      </w:r>
      <w:r>
        <w:rPr>
          <w:rFonts w:ascii="Times New Roman" w:hAnsi="Times New Roman" w:eastAsia="仿宋_GB2312" w:cs="Times New Roman"/>
          <w:b/>
          <w:bCs w:val="0"/>
          <w:sz w:val="28"/>
          <w:szCs w:val="28"/>
        </w:rPr>
        <w:t>应急终止</w:t>
      </w:r>
      <w:bookmarkEnd w:id="352"/>
      <w:bookmarkEnd w:id="353"/>
      <w:bookmarkEnd w:id="354"/>
      <w:bookmarkEnd w:id="355"/>
    </w:p>
    <w:p>
      <w:pPr>
        <w:pStyle w:val="12"/>
        <w:spacing w:line="560" w:lineRule="exact"/>
        <w:rPr>
          <w:rFonts w:ascii="Times New Roman" w:hAnsi="Times New Roman" w:eastAsia="仿宋_GB2312" w:cs="Times New Roman"/>
          <w:b/>
          <w:bCs w:val="0"/>
          <w:sz w:val="28"/>
          <w:szCs w:val="28"/>
        </w:rPr>
      </w:pPr>
      <w:bookmarkStart w:id="356" w:name="_Toc402516948"/>
      <w:bookmarkStart w:id="357" w:name="_Toc25518"/>
      <w:bookmarkStart w:id="358" w:name="_Toc26011"/>
      <w:bookmarkStart w:id="359" w:name="_Toc2960"/>
      <w:r>
        <w:rPr>
          <w:rFonts w:ascii="Times New Roman" w:hAnsi="Times New Roman" w:eastAsia="仿宋_GB2312" w:cs="Times New Roman"/>
          <w:bCs w:val="0"/>
          <w:sz w:val="28"/>
          <w:szCs w:val="28"/>
        </w:rPr>
        <w:t>6.7.1</w:t>
      </w:r>
      <w:r>
        <w:rPr>
          <w:rFonts w:ascii="Times New Roman" w:hAnsi="Times New Roman" w:eastAsia="仿宋_GB2312" w:cs="Times New Roman"/>
          <w:b/>
          <w:bCs w:val="0"/>
          <w:sz w:val="28"/>
          <w:szCs w:val="28"/>
        </w:rPr>
        <w:t>应急终止的条件</w:t>
      </w:r>
      <w:bookmarkEnd w:id="356"/>
      <w:bookmarkEnd w:id="357"/>
      <w:bookmarkEnd w:id="358"/>
      <w:bookmarkEnd w:id="359"/>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符合下列条件之一的，即满足应急终止条件：</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（1）事件现场得到控制，事件条件已经消除；</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（2）污染源的泄漏或释放已降至规定限值以内；</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（3）事件所造成的危害已经被彻底消除，无继发可能；</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（4）事件现场的各种专业应急处置行动已无继续的必要；</w:t>
      </w:r>
    </w:p>
    <w:p>
      <w:pPr>
        <w:pStyle w:val="12"/>
        <w:spacing w:line="560" w:lineRule="exact"/>
        <w:rPr>
          <w:rFonts w:ascii="Times New Roman" w:hAnsi="Times New Roman" w:eastAsia="仿宋_GB2312" w:cs="Times New Roman"/>
          <w:b/>
          <w:bCs w:val="0"/>
          <w:sz w:val="28"/>
          <w:szCs w:val="28"/>
        </w:rPr>
      </w:pPr>
      <w:bookmarkStart w:id="360" w:name="_Toc402516949"/>
      <w:bookmarkStart w:id="361" w:name="_Toc30928"/>
      <w:bookmarkStart w:id="362" w:name="_Toc3596"/>
      <w:bookmarkStart w:id="363" w:name="_Toc28189"/>
      <w:r>
        <w:rPr>
          <w:rFonts w:ascii="Times New Roman" w:hAnsi="Times New Roman" w:eastAsia="仿宋_GB2312" w:cs="Times New Roman"/>
          <w:bCs w:val="0"/>
          <w:sz w:val="28"/>
          <w:szCs w:val="28"/>
        </w:rPr>
        <w:t>6.7.2</w:t>
      </w:r>
      <w:r>
        <w:rPr>
          <w:rFonts w:ascii="Times New Roman" w:hAnsi="Times New Roman" w:eastAsia="仿宋_GB2312" w:cs="Times New Roman"/>
          <w:b/>
          <w:bCs w:val="0"/>
          <w:sz w:val="28"/>
          <w:szCs w:val="28"/>
        </w:rPr>
        <w:t>应急终止的程序</w:t>
      </w:r>
      <w:bookmarkEnd w:id="360"/>
      <w:bookmarkEnd w:id="361"/>
      <w:bookmarkEnd w:id="362"/>
      <w:bookmarkEnd w:id="363"/>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（1）应急领导小组确认终止时机，由事件现场指挥部或事件责任单位提出，经应急领导小组批准；</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（2）应急领导小组向各单位下达应急终止命令；</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（3）应急终止后；</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① 责任部门应认真总结、分析、吸取事件教训，及时进行整改；</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② 应急领导小组应对应急计划和实施程序的有效性进行评价，并提出对应急预案的修改意见。</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③ 参加应急行动的部门负责维护、保养应急设备，使之始终保持良好的技术状态。</w:t>
      </w:r>
    </w:p>
    <w:p>
      <w:pPr>
        <w:pStyle w:val="12"/>
        <w:spacing w:line="560" w:lineRule="exact"/>
        <w:rPr>
          <w:rFonts w:ascii="Times New Roman" w:hAnsi="Times New Roman" w:eastAsia="仿宋_GB2312" w:cs="Times New Roman"/>
          <w:b/>
          <w:bCs w:val="0"/>
          <w:sz w:val="28"/>
          <w:szCs w:val="28"/>
        </w:rPr>
      </w:pPr>
      <w:bookmarkStart w:id="364" w:name="_Toc402516950"/>
      <w:bookmarkStart w:id="365" w:name="_Toc32520"/>
      <w:bookmarkStart w:id="366" w:name="_Toc22967"/>
      <w:bookmarkStart w:id="367" w:name="_Toc21000"/>
      <w:r>
        <w:rPr>
          <w:rFonts w:ascii="Times New Roman" w:hAnsi="Times New Roman" w:eastAsia="仿宋_GB2312" w:cs="Times New Roman"/>
          <w:bCs w:val="0"/>
          <w:sz w:val="28"/>
          <w:szCs w:val="28"/>
        </w:rPr>
        <w:t>7</w:t>
      </w:r>
      <w:r>
        <w:rPr>
          <w:rFonts w:hint="eastAsia" w:ascii="Times New Roman" w:hAnsi="Times New Roman" w:eastAsia="仿宋_GB2312" w:cs="Times New Roman"/>
          <w:bCs w:val="0"/>
          <w:sz w:val="28"/>
          <w:szCs w:val="28"/>
        </w:rPr>
        <w:t>．</w:t>
      </w:r>
      <w:r>
        <w:rPr>
          <w:rFonts w:ascii="Times New Roman" w:hAnsi="Times New Roman" w:eastAsia="仿宋_GB2312" w:cs="Times New Roman"/>
          <w:b/>
          <w:bCs w:val="0"/>
          <w:sz w:val="28"/>
          <w:szCs w:val="28"/>
        </w:rPr>
        <w:t>后期处置</w:t>
      </w:r>
      <w:bookmarkEnd w:id="364"/>
      <w:bookmarkEnd w:id="365"/>
      <w:bookmarkEnd w:id="366"/>
      <w:bookmarkEnd w:id="367"/>
    </w:p>
    <w:p>
      <w:pPr>
        <w:pStyle w:val="12"/>
        <w:spacing w:line="560" w:lineRule="exact"/>
        <w:rPr>
          <w:rFonts w:ascii="Times New Roman" w:hAnsi="Times New Roman" w:eastAsia="仿宋_GB2312" w:cs="Times New Roman"/>
          <w:b/>
          <w:bCs w:val="0"/>
          <w:sz w:val="28"/>
          <w:szCs w:val="28"/>
        </w:rPr>
      </w:pPr>
      <w:bookmarkStart w:id="368" w:name="_Toc402516951"/>
      <w:bookmarkStart w:id="369" w:name="_Toc11701"/>
      <w:bookmarkStart w:id="370" w:name="_Toc19499"/>
      <w:bookmarkStart w:id="371" w:name="_Toc11972"/>
      <w:r>
        <w:rPr>
          <w:rFonts w:ascii="Times New Roman" w:hAnsi="Times New Roman" w:eastAsia="仿宋_GB2312" w:cs="Times New Roman"/>
          <w:bCs w:val="0"/>
          <w:sz w:val="28"/>
          <w:szCs w:val="28"/>
        </w:rPr>
        <w:t>7.1</w:t>
      </w:r>
      <w:r>
        <w:rPr>
          <w:rFonts w:ascii="Times New Roman" w:hAnsi="Times New Roman" w:eastAsia="仿宋_GB2312" w:cs="Times New Roman"/>
          <w:b/>
          <w:bCs w:val="0"/>
          <w:sz w:val="28"/>
          <w:szCs w:val="28"/>
        </w:rPr>
        <w:t>善后处置</w:t>
      </w:r>
      <w:bookmarkEnd w:id="368"/>
      <w:bookmarkEnd w:id="369"/>
      <w:bookmarkEnd w:id="370"/>
      <w:bookmarkEnd w:id="371"/>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根据事件造成的危害大小，由公司确定是否需要成立善后处理小组。</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善后处理小组人员组成：</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组  长：总经办主任</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成  员：总经办、安环科、生产科、技术科、事件责任单位</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职  责：负责事件发生的善后处理工作，尽快消除事件影响，恢复正常生产秩序。</w:t>
      </w:r>
    </w:p>
    <w:p>
      <w:pPr>
        <w:pStyle w:val="12"/>
        <w:spacing w:line="560" w:lineRule="exact"/>
        <w:rPr>
          <w:rFonts w:ascii="Times New Roman" w:hAnsi="Times New Roman" w:eastAsia="仿宋_GB2312" w:cs="Times New Roman"/>
          <w:b/>
          <w:bCs w:val="0"/>
          <w:sz w:val="28"/>
          <w:szCs w:val="28"/>
        </w:rPr>
      </w:pPr>
      <w:bookmarkStart w:id="372" w:name="_Toc402516952"/>
      <w:bookmarkStart w:id="373" w:name="_Toc26404"/>
      <w:bookmarkStart w:id="374" w:name="_Toc18210"/>
      <w:bookmarkStart w:id="375" w:name="_Toc15753"/>
      <w:r>
        <w:rPr>
          <w:rFonts w:ascii="Times New Roman" w:hAnsi="Times New Roman" w:eastAsia="仿宋_GB2312" w:cs="Times New Roman"/>
          <w:bCs w:val="0"/>
          <w:sz w:val="28"/>
          <w:szCs w:val="28"/>
        </w:rPr>
        <w:t>7.2</w:t>
      </w:r>
      <w:r>
        <w:rPr>
          <w:rFonts w:ascii="Times New Roman" w:hAnsi="Times New Roman" w:eastAsia="仿宋_GB2312" w:cs="Times New Roman"/>
          <w:b/>
          <w:bCs w:val="0"/>
          <w:sz w:val="28"/>
          <w:szCs w:val="28"/>
        </w:rPr>
        <w:t>警戒与治安</w:t>
      </w:r>
      <w:bookmarkEnd w:id="372"/>
      <w:bookmarkEnd w:id="373"/>
      <w:bookmarkEnd w:id="374"/>
      <w:bookmarkEnd w:id="375"/>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1）在接到事件救援通知后，现场治安组应迅速赶赴事发现场，在事件现场周围拉警戒线，由专门人员负责将救援无关人员进行紧急疏散到安全的地点，并提醒和警告路过或周围人员，远离危险地带和事件现场。</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（2）在接到事件救援通知后，医疗救援组应迅速赶赴事发现场，及时清点人数，弄清有无人员伤亡情况，并迅速报给应急工作领导小组，并在组长的统一领导下，对受伤人员进行施救。</w:t>
      </w:r>
    </w:p>
    <w:p>
      <w:pPr>
        <w:pStyle w:val="12"/>
        <w:spacing w:line="560" w:lineRule="exact"/>
        <w:rPr>
          <w:rFonts w:ascii="Times New Roman" w:hAnsi="Times New Roman" w:eastAsia="仿宋_GB2312" w:cs="Times New Roman"/>
          <w:b/>
          <w:bCs w:val="0"/>
          <w:sz w:val="28"/>
          <w:szCs w:val="28"/>
        </w:rPr>
      </w:pPr>
      <w:bookmarkStart w:id="376" w:name="_Toc402516953"/>
      <w:bookmarkStart w:id="377" w:name="_Toc3623"/>
      <w:bookmarkStart w:id="378" w:name="_Toc10042"/>
      <w:bookmarkStart w:id="379" w:name="_Toc9982"/>
      <w:r>
        <w:rPr>
          <w:rFonts w:ascii="Times New Roman" w:hAnsi="Times New Roman" w:eastAsia="仿宋_GB2312" w:cs="Times New Roman"/>
          <w:bCs w:val="0"/>
          <w:sz w:val="28"/>
          <w:szCs w:val="28"/>
        </w:rPr>
        <w:t>7.3</w:t>
      </w:r>
      <w:r>
        <w:rPr>
          <w:rFonts w:ascii="Times New Roman" w:hAnsi="Times New Roman" w:eastAsia="仿宋_GB2312" w:cs="Times New Roman"/>
          <w:b/>
          <w:bCs w:val="0"/>
          <w:sz w:val="28"/>
          <w:szCs w:val="28"/>
        </w:rPr>
        <w:t>调查与评估</w:t>
      </w:r>
      <w:bookmarkEnd w:id="376"/>
      <w:bookmarkEnd w:id="377"/>
      <w:bookmarkEnd w:id="378"/>
      <w:bookmarkEnd w:id="379"/>
    </w:p>
    <w:p>
      <w:pPr>
        <w:pStyle w:val="12"/>
        <w:spacing w:line="560" w:lineRule="exact"/>
        <w:rPr>
          <w:rFonts w:ascii="Times New Roman" w:hAnsi="Times New Roman" w:eastAsia="仿宋_GB2312" w:cs="Times New Roman"/>
          <w:b/>
          <w:bCs w:val="0"/>
          <w:sz w:val="28"/>
          <w:szCs w:val="28"/>
        </w:rPr>
      </w:pPr>
      <w:bookmarkStart w:id="380" w:name="_Toc402516954"/>
      <w:bookmarkStart w:id="381" w:name="_Toc29725"/>
      <w:bookmarkStart w:id="382" w:name="_Toc31788"/>
      <w:bookmarkStart w:id="383" w:name="_Toc23363"/>
      <w:r>
        <w:rPr>
          <w:rFonts w:ascii="Times New Roman" w:hAnsi="Times New Roman" w:eastAsia="仿宋_GB2312" w:cs="Times New Roman"/>
          <w:bCs w:val="0"/>
          <w:sz w:val="28"/>
          <w:szCs w:val="28"/>
        </w:rPr>
        <w:t>7.3.1</w:t>
      </w:r>
      <w:r>
        <w:rPr>
          <w:rFonts w:ascii="Times New Roman" w:hAnsi="Times New Roman" w:eastAsia="仿宋_GB2312" w:cs="Times New Roman"/>
          <w:b/>
          <w:bCs w:val="0"/>
          <w:sz w:val="28"/>
          <w:szCs w:val="28"/>
        </w:rPr>
        <w:t>污染事件调查</w:t>
      </w:r>
      <w:bookmarkEnd w:id="380"/>
      <w:bookmarkEnd w:id="381"/>
      <w:bookmarkEnd w:id="382"/>
      <w:bookmarkEnd w:id="383"/>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在接到事件救援通知后，事件调查组应迅速赶赴事发现场，在进行现场应急处置的同时，应当抓紧协助进行现场调查取证工作，全面收集和保护有关事件发生的原因、危害及其损失等方面的证据和资料，并负责事件后期的调查处理和整改工作。</w:t>
      </w:r>
    </w:p>
    <w:p>
      <w:pPr>
        <w:pStyle w:val="12"/>
        <w:spacing w:line="560" w:lineRule="exact"/>
        <w:rPr>
          <w:rFonts w:ascii="Times New Roman" w:hAnsi="Times New Roman" w:eastAsia="仿宋_GB2312" w:cs="Times New Roman"/>
          <w:b/>
          <w:bCs w:val="0"/>
          <w:sz w:val="28"/>
          <w:szCs w:val="28"/>
        </w:rPr>
      </w:pPr>
      <w:bookmarkStart w:id="384" w:name="_Toc402516955"/>
      <w:bookmarkStart w:id="385" w:name="_Toc29294"/>
      <w:bookmarkStart w:id="386" w:name="_Toc9493"/>
      <w:bookmarkStart w:id="387" w:name="_Toc5815"/>
      <w:r>
        <w:rPr>
          <w:rFonts w:ascii="Times New Roman" w:hAnsi="Times New Roman" w:eastAsia="仿宋_GB2312" w:cs="Times New Roman"/>
          <w:bCs w:val="0"/>
          <w:sz w:val="28"/>
          <w:szCs w:val="28"/>
        </w:rPr>
        <w:t>7.3.2</w:t>
      </w:r>
      <w:r>
        <w:rPr>
          <w:rFonts w:ascii="Times New Roman" w:hAnsi="Times New Roman" w:eastAsia="仿宋_GB2312" w:cs="Times New Roman"/>
          <w:b/>
          <w:bCs w:val="0"/>
          <w:sz w:val="28"/>
          <w:szCs w:val="28"/>
        </w:rPr>
        <w:t>应急预总结评审</w:t>
      </w:r>
      <w:bookmarkEnd w:id="384"/>
      <w:bookmarkEnd w:id="385"/>
      <w:bookmarkEnd w:id="386"/>
      <w:bookmarkEnd w:id="387"/>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由应急领导小组负责组织召开总结评审会，总结事件应急救援情况，评价应急救援预案实施效果，并就预案实施过程存在的不足地方提出修改意见。</w:t>
      </w:r>
    </w:p>
    <w:p>
      <w:pPr>
        <w:pStyle w:val="12"/>
        <w:spacing w:line="560" w:lineRule="exact"/>
        <w:rPr>
          <w:rFonts w:ascii="Times New Roman" w:hAnsi="Times New Roman" w:eastAsia="仿宋_GB2312" w:cs="Times New Roman"/>
          <w:b/>
          <w:bCs w:val="0"/>
          <w:sz w:val="28"/>
          <w:szCs w:val="28"/>
        </w:rPr>
      </w:pPr>
      <w:bookmarkStart w:id="388" w:name="_Toc402516956"/>
      <w:bookmarkStart w:id="389" w:name="_Toc25422"/>
      <w:bookmarkStart w:id="390" w:name="_Toc23756"/>
      <w:bookmarkStart w:id="391" w:name="_Toc7430"/>
      <w:r>
        <w:rPr>
          <w:rFonts w:ascii="Times New Roman" w:hAnsi="Times New Roman" w:eastAsia="仿宋_GB2312" w:cs="Times New Roman"/>
          <w:bCs w:val="0"/>
          <w:sz w:val="28"/>
          <w:szCs w:val="28"/>
        </w:rPr>
        <w:t>7.4</w:t>
      </w:r>
      <w:r>
        <w:rPr>
          <w:rFonts w:ascii="Times New Roman" w:hAnsi="Times New Roman" w:eastAsia="仿宋_GB2312" w:cs="Times New Roman"/>
          <w:b/>
          <w:bCs w:val="0"/>
          <w:sz w:val="28"/>
          <w:szCs w:val="28"/>
        </w:rPr>
        <w:t>生产秩序恢复与重建</w:t>
      </w:r>
      <w:bookmarkEnd w:id="388"/>
      <w:bookmarkEnd w:id="389"/>
      <w:bookmarkEnd w:id="390"/>
      <w:bookmarkEnd w:id="391"/>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应急援结束后，根据事件造成的危害情况，由公司确定是否需要成立生产恢复小组。</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生产恢复小组人员组成：</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组长：生产科科长</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成员：生产科、安环科、技术科、设备科、供应科、事件责任单位</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职责：负责组织事件的善后处置工作包括：生产的恢复、设备设施的完善、现场清理和处置，尽快消除事件影响，恢复正常秩序。</w:t>
      </w:r>
    </w:p>
    <w:p>
      <w:pPr>
        <w:pStyle w:val="12"/>
        <w:spacing w:line="560" w:lineRule="exact"/>
        <w:rPr>
          <w:rFonts w:ascii="Times New Roman" w:hAnsi="Times New Roman" w:eastAsia="仿宋_GB2312" w:cs="Times New Roman"/>
          <w:b/>
          <w:bCs w:val="0"/>
          <w:sz w:val="28"/>
          <w:szCs w:val="28"/>
        </w:rPr>
      </w:pPr>
      <w:bookmarkStart w:id="392" w:name="_Toc402516957"/>
      <w:bookmarkStart w:id="393" w:name="_Toc6118"/>
      <w:bookmarkStart w:id="394" w:name="_Toc24892"/>
      <w:bookmarkStart w:id="395" w:name="_Toc30569"/>
      <w:r>
        <w:rPr>
          <w:rFonts w:ascii="Times New Roman" w:hAnsi="Times New Roman" w:eastAsia="仿宋_GB2312" w:cs="Times New Roman"/>
          <w:bCs w:val="0"/>
          <w:sz w:val="28"/>
          <w:szCs w:val="28"/>
        </w:rPr>
        <w:t>8</w:t>
      </w:r>
      <w:r>
        <w:rPr>
          <w:rFonts w:hint="eastAsia" w:ascii="Times New Roman" w:hAnsi="Times New Roman" w:eastAsia="仿宋_GB2312" w:cs="Times New Roman"/>
          <w:bCs w:val="0"/>
          <w:sz w:val="28"/>
          <w:szCs w:val="28"/>
        </w:rPr>
        <w:t>．</w:t>
      </w:r>
      <w:r>
        <w:rPr>
          <w:rFonts w:ascii="Times New Roman" w:hAnsi="Times New Roman" w:eastAsia="仿宋_GB2312" w:cs="Times New Roman"/>
          <w:b/>
          <w:bCs w:val="0"/>
          <w:sz w:val="28"/>
          <w:szCs w:val="28"/>
        </w:rPr>
        <w:t>应急保障</w:t>
      </w:r>
      <w:bookmarkEnd w:id="392"/>
      <w:bookmarkEnd w:id="393"/>
      <w:bookmarkEnd w:id="394"/>
      <w:bookmarkEnd w:id="395"/>
    </w:p>
    <w:p>
      <w:pPr>
        <w:pStyle w:val="12"/>
        <w:spacing w:line="560" w:lineRule="exact"/>
        <w:rPr>
          <w:rFonts w:ascii="Times New Roman" w:hAnsi="Times New Roman" w:eastAsia="仿宋_GB2312" w:cs="Times New Roman"/>
          <w:b/>
          <w:bCs w:val="0"/>
          <w:sz w:val="28"/>
          <w:szCs w:val="28"/>
        </w:rPr>
      </w:pPr>
      <w:bookmarkStart w:id="396" w:name="_Toc402516958"/>
      <w:bookmarkStart w:id="397" w:name="_Toc17511"/>
      <w:bookmarkStart w:id="398" w:name="_Toc18529"/>
      <w:bookmarkStart w:id="399" w:name="_Toc30212"/>
      <w:r>
        <w:rPr>
          <w:rFonts w:ascii="Times New Roman" w:hAnsi="Times New Roman" w:eastAsia="仿宋_GB2312" w:cs="Times New Roman"/>
          <w:bCs w:val="0"/>
          <w:sz w:val="28"/>
          <w:szCs w:val="28"/>
        </w:rPr>
        <w:t>8.</w:t>
      </w:r>
      <w:r>
        <w:rPr>
          <w:rFonts w:hint="eastAsia" w:ascii="Times New Roman" w:hAnsi="Times New Roman" w:eastAsia="仿宋_GB2312" w:cs="Times New Roman"/>
          <w:bCs w:val="0"/>
          <w:sz w:val="28"/>
          <w:szCs w:val="28"/>
        </w:rPr>
        <w:t>1</w:t>
      </w:r>
      <w:r>
        <w:rPr>
          <w:rFonts w:ascii="Times New Roman" w:hAnsi="Times New Roman" w:eastAsia="仿宋_GB2312" w:cs="Times New Roman"/>
          <w:b/>
          <w:bCs w:val="0"/>
          <w:sz w:val="28"/>
          <w:szCs w:val="28"/>
        </w:rPr>
        <w:t>人力资源保障</w:t>
      </w:r>
      <w:bookmarkEnd w:id="396"/>
      <w:bookmarkEnd w:id="397"/>
      <w:bookmarkEnd w:id="398"/>
      <w:bookmarkEnd w:id="399"/>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应急领导小组负责建立突发性环境污染事件应急救援队伍，培训一支常备不懈，熟悉环境应急知识，充分掌握各类突发性环境污染事件处置措施的预备应急力量；保证在突发事件发生后，能迅速参与并完成抢救、排险等现场处置工作。</w:t>
      </w:r>
    </w:p>
    <w:p>
      <w:pPr>
        <w:pStyle w:val="12"/>
        <w:spacing w:line="560" w:lineRule="exact"/>
        <w:rPr>
          <w:rFonts w:ascii="Times New Roman" w:hAnsi="Times New Roman" w:eastAsia="仿宋_GB2312" w:cs="Times New Roman"/>
          <w:b/>
          <w:bCs w:val="0"/>
          <w:sz w:val="28"/>
          <w:szCs w:val="28"/>
        </w:rPr>
      </w:pPr>
      <w:bookmarkStart w:id="400" w:name="_Toc402516959"/>
      <w:bookmarkStart w:id="401" w:name="_Toc54"/>
      <w:bookmarkStart w:id="402" w:name="_Toc4101"/>
      <w:bookmarkStart w:id="403" w:name="_Toc14876"/>
      <w:r>
        <w:rPr>
          <w:rFonts w:ascii="Times New Roman" w:hAnsi="Times New Roman" w:eastAsia="仿宋_GB2312" w:cs="Times New Roman"/>
          <w:bCs w:val="0"/>
          <w:sz w:val="28"/>
          <w:szCs w:val="28"/>
        </w:rPr>
        <w:t>8.</w:t>
      </w:r>
      <w:r>
        <w:rPr>
          <w:rFonts w:hint="eastAsia" w:ascii="Times New Roman" w:hAnsi="Times New Roman" w:eastAsia="仿宋_GB2312" w:cs="Times New Roman"/>
          <w:bCs w:val="0"/>
          <w:sz w:val="28"/>
          <w:szCs w:val="28"/>
        </w:rPr>
        <w:t>2</w:t>
      </w:r>
      <w:r>
        <w:rPr>
          <w:rFonts w:ascii="Times New Roman" w:hAnsi="Times New Roman" w:eastAsia="仿宋_GB2312" w:cs="Times New Roman"/>
          <w:b/>
          <w:bCs w:val="0"/>
          <w:sz w:val="28"/>
          <w:szCs w:val="28"/>
        </w:rPr>
        <w:t>资金保障</w:t>
      </w:r>
      <w:bookmarkEnd w:id="400"/>
      <w:bookmarkEnd w:id="401"/>
      <w:bookmarkEnd w:id="402"/>
      <w:bookmarkEnd w:id="403"/>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财务科负责配置专项资金，为突发事件应急过程提供必要的资金支持。根据应急救援的需要和现场储备物资的损耗情况，责任部门应及时向供应科上报采购计划或更新计划，财务科应从资金上给予优先保证。</w:t>
      </w:r>
    </w:p>
    <w:p>
      <w:pPr>
        <w:pStyle w:val="12"/>
        <w:spacing w:line="560" w:lineRule="exact"/>
        <w:rPr>
          <w:rFonts w:ascii="Times New Roman" w:hAnsi="Times New Roman" w:eastAsia="仿宋_GB2312" w:cs="Times New Roman"/>
          <w:b/>
          <w:bCs w:val="0"/>
          <w:sz w:val="28"/>
          <w:szCs w:val="28"/>
        </w:rPr>
      </w:pPr>
      <w:bookmarkStart w:id="404" w:name="_Toc402516960"/>
      <w:bookmarkStart w:id="405" w:name="_Toc26692"/>
      <w:bookmarkStart w:id="406" w:name="_Toc29324"/>
      <w:bookmarkStart w:id="407" w:name="_Toc20683"/>
      <w:r>
        <w:rPr>
          <w:rFonts w:ascii="Times New Roman" w:hAnsi="Times New Roman" w:eastAsia="仿宋_GB2312" w:cs="Times New Roman"/>
          <w:bCs w:val="0"/>
          <w:sz w:val="28"/>
          <w:szCs w:val="28"/>
        </w:rPr>
        <w:t>8.3</w:t>
      </w:r>
      <w:r>
        <w:rPr>
          <w:rFonts w:ascii="Times New Roman" w:hAnsi="Times New Roman" w:eastAsia="仿宋_GB2312" w:cs="Times New Roman"/>
          <w:b/>
          <w:bCs w:val="0"/>
          <w:sz w:val="28"/>
          <w:szCs w:val="28"/>
        </w:rPr>
        <w:t>物资保障</w:t>
      </w:r>
      <w:bookmarkEnd w:id="404"/>
      <w:bookmarkEnd w:id="405"/>
      <w:bookmarkEnd w:id="406"/>
      <w:bookmarkEnd w:id="407"/>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公司配备足够数量救援中所需的检测仪表、设备、交通工具、个体防护及医疗设备、药品等抢救物资，并定期检查与更新，保证其始终处于完好状态。</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供应科负责应急救援物资紧急调拨，保证救援物资的随时调拨到位，保证救援需要。</w:t>
      </w:r>
    </w:p>
    <w:p>
      <w:pPr>
        <w:pStyle w:val="12"/>
        <w:spacing w:line="560" w:lineRule="exact"/>
        <w:rPr>
          <w:rFonts w:ascii="Times New Roman" w:hAnsi="Times New Roman" w:eastAsia="仿宋_GB2312" w:cs="Times New Roman"/>
          <w:b/>
          <w:bCs w:val="0"/>
          <w:sz w:val="28"/>
          <w:szCs w:val="28"/>
        </w:rPr>
      </w:pPr>
      <w:bookmarkStart w:id="408" w:name="_Toc402516961"/>
      <w:bookmarkStart w:id="409" w:name="_Toc32596"/>
      <w:bookmarkStart w:id="410" w:name="_Toc19599"/>
      <w:bookmarkStart w:id="411" w:name="_Toc15310"/>
      <w:r>
        <w:rPr>
          <w:rFonts w:ascii="Times New Roman" w:hAnsi="Times New Roman" w:eastAsia="仿宋_GB2312" w:cs="Times New Roman"/>
          <w:bCs w:val="0"/>
          <w:sz w:val="28"/>
          <w:szCs w:val="28"/>
        </w:rPr>
        <w:t>8.4</w:t>
      </w:r>
      <w:r>
        <w:rPr>
          <w:rFonts w:ascii="Times New Roman" w:hAnsi="Times New Roman" w:eastAsia="仿宋_GB2312" w:cs="Times New Roman"/>
          <w:b/>
          <w:bCs w:val="0"/>
          <w:sz w:val="28"/>
          <w:szCs w:val="28"/>
        </w:rPr>
        <w:t>医疗卫生保障</w:t>
      </w:r>
      <w:bookmarkEnd w:id="408"/>
      <w:bookmarkEnd w:id="409"/>
      <w:bookmarkEnd w:id="410"/>
      <w:bookmarkEnd w:id="411"/>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总经办在贯彻现场救治、就近救治、转送治疗的原则，配备必要的急救医药和器材，并制定医护人员的应急准备措施，以保证现场急救的需要。</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主要工作内容如下：</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（1）根据突发性环境污染事件的性质、特点，告知员工应采取的安全防护措施；</w:t>
      </w:r>
    </w:p>
    <w:p>
      <w:pPr>
        <w:spacing w:line="560" w:lineRule="exact"/>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（2）在事发地安全边界以外，设立紧急抢救场所。</w:t>
      </w:r>
    </w:p>
    <w:p>
      <w:pPr>
        <w:pStyle w:val="12"/>
        <w:spacing w:line="560" w:lineRule="exact"/>
        <w:rPr>
          <w:rFonts w:ascii="Times New Roman" w:hAnsi="Times New Roman" w:eastAsia="仿宋_GB2312" w:cs="Times New Roman"/>
          <w:b/>
          <w:bCs w:val="0"/>
          <w:sz w:val="28"/>
          <w:szCs w:val="28"/>
        </w:rPr>
      </w:pPr>
      <w:bookmarkStart w:id="412" w:name="_Toc402516962"/>
      <w:bookmarkStart w:id="413" w:name="_Toc10088"/>
      <w:bookmarkStart w:id="414" w:name="_Toc28656"/>
      <w:bookmarkStart w:id="415" w:name="_Toc9668"/>
      <w:r>
        <w:rPr>
          <w:rFonts w:ascii="Times New Roman" w:hAnsi="Times New Roman" w:eastAsia="仿宋_GB2312" w:cs="Times New Roman"/>
          <w:bCs w:val="0"/>
          <w:sz w:val="28"/>
          <w:szCs w:val="28"/>
        </w:rPr>
        <w:t>8.5</w:t>
      </w:r>
      <w:r>
        <w:rPr>
          <w:rFonts w:ascii="Times New Roman" w:hAnsi="Times New Roman" w:eastAsia="仿宋_GB2312" w:cs="Times New Roman"/>
          <w:b/>
          <w:bCs w:val="0"/>
          <w:sz w:val="28"/>
          <w:szCs w:val="28"/>
        </w:rPr>
        <w:t>交通运输保障</w:t>
      </w:r>
      <w:bookmarkEnd w:id="412"/>
      <w:bookmarkEnd w:id="413"/>
      <w:bookmarkEnd w:id="414"/>
      <w:bookmarkEnd w:id="415"/>
    </w:p>
    <w:p>
      <w:pPr>
        <w:spacing w:line="560" w:lineRule="exact"/>
        <w:ind w:firstLine="560" w:firstLineChars="200"/>
      </w:pPr>
      <w:r>
        <w:rPr>
          <w:rFonts w:hint="eastAsia" w:ascii="Times New Roman" w:hAnsi="Times New Roman" w:eastAsia="仿宋_GB2312" w:cs="Times New Roman"/>
          <w:color w:val="auto"/>
          <w:kern w:val="0"/>
          <w:sz w:val="28"/>
          <w:szCs w:val="28"/>
          <w:lang w:val="en-US" w:eastAsia="zh-CN" w:bidi="ar-SA"/>
        </w:rPr>
        <w:t>总经办保持一定数量安全系数高、性能好的车辆，确保处于良好状态，并制定驾驶员的应急准备措施，以保证应急救援的运输需要。</w:t>
      </w:r>
    </w:p>
    <w:p>
      <w:pPr>
        <w:pStyle w:val="12"/>
        <w:spacing w:line="560" w:lineRule="exact"/>
        <w:rPr>
          <w:rFonts w:ascii="Times New Roman" w:hAnsi="Times New Roman" w:eastAsia="仿宋_GB2312" w:cs="Times New Roman"/>
          <w:b/>
          <w:bCs w:val="0"/>
          <w:sz w:val="28"/>
          <w:szCs w:val="28"/>
        </w:rPr>
      </w:pPr>
      <w:bookmarkStart w:id="416" w:name="_Toc402516963"/>
      <w:bookmarkStart w:id="417" w:name="_Toc5782"/>
      <w:bookmarkStart w:id="418" w:name="_Toc3844"/>
      <w:bookmarkStart w:id="419" w:name="_Toc32341"/>
      <w:r>
        <w:rPr>
          <w:rFonts w:ascii="Times New Roman" w:hAnsi="Times New Roman" w:eastAsia="仿宋_GB2312" w:cs="Times New Roman"/>
          <w:bCs w:val="0"/>
          <w:sz w:val="28"/>
          <w:szCs w:val="28"/>
        </w:rPr>
        <w:t>8.6</w:t>
      </w:r>
      <w:r>
        <w:rPr>
          <w:rFonts w:ascii="Times New Roman" w:hAnsi="Times New Roman" w:eastAsia="仿宋_GB2312" w:cs="Times New Roman"/>
          <w:b/>
          <w:bCs w:val="0"/>
          <w:sz w:val="28"/>
          <w:szCs w:val="28"/>
        </w:rPr>
        <w:t>治安维护</w:t>
      </w:r>
      <w:bookmarkEnd w:id="416"/>
      <w:bookmarkEnd w:id="417"/>
      <w:bookmarkEnd w:id="418"/>
      <w:bookmarkEnd w:id="419"/>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现场治安组在赶赴事发现场后，负责在事件现场周围拉警戒线，由专门人员负责将救援无关人员进行紧急疏散到安全的地点，并提醒和警告路过或周围人员，远离危险地带和事件现场。</w:t>
      </w:r>
    </w:p>
    <w:p>
      <w:pPr>
        <w:pStyle w:val="12"/>
        <w:spacing w:line="560" w:lineRule="exact"/>
        <w:rPr>
          <w:rFonts w:ascii="Times New Roman" w:hAnsi="Times New Roman" w:eastAsia="仿宋_GB2312" w:cs="Times New Roman"/>
          <w:b/>
          <w:bCs w:val="0"/>
          <w:sz w:val="28"/>
          <w:szCs w:val="28"/>
        </w:rPr>
      </w:pPr>
      <w:bookmarkStart w:id="420" w:name="_Toc402516964"/>
      <w:bookmarkStart w:id="421" w:name="_Toc17725"/>
      <w:bookmarkStart w:id="422" w:name="_Toc32212"/>
      <w:bookmarkStart w:id="423" w:name="_Toc11001"/>
      <w:r>
        <w:rPr>
          <w:rFonts w:ascii="Times New Roman" w:hAnsi="Times New Roman" w:eastAsia="仿宋_GB2312" w:cs="Times New Roman"/>
          <w:bCs w:val="0"/>
          <w:sz w:val="28"/>
          <w:szCs w:val="28"/>
        </w:rPr>
        <w:t>8.7</w:t>
      </w:r>
      <w:r>
        <w:rPr>
          <w:rFonts w:ascii="Times New Roman" w:hAnsi="Times New Roman" w:eastAsia="仿宋_GB2312" w:cs="Times New Roman"/>
          <w:b/>
          <w:bCs w:val="0"/>
          <w:sz w:val="28"/>
          <w:szCs w:val="28"/>
        </w:rPr>
        <w:t>通信保障</w:t>
      </w:r>
      <w:bookmarkEnd w:id="420"/>
      <w:bookmarkEnd w:id="421"/>
      <w:bookmarkEnd w:id="422"/>
      <w:bookmarkEnd w:id="423"/>
    </w:p>
    <w:p>
      <w:pPr>
        <w:spacing w:line="560" w:lineRule="exact"/>
        <w:ind w:firstLine="560" w:firstLineChars="200"/>
      </w:pPr>
      <w:r>
        <w:rPr>
          <w:rFonts w:hint="eastAsia" w:ascii="Times New Roman" w:hAnsi="Times New Roman" w:eastAsia="仿宋_GB2312" w:cs="Times New Roman"/>
          <w:color w:val="auto"/>
          <w:kern w:val="0"/>
          <w:sz w:val="28"/>
          <w:szCs w:val="28"/>
          <w:lang w:val="en-US" w:eastAsia="zh-CN" w:bidi="ar-SA"/>
        </w:rPr>
        <w:t>公司内设有集团网、传真机，生产调度配备专用移动电话及备用电源，并保持24小时畅通，公司设有节假日领导值班制。应急状态时，总经办和生产调度做好联络工作，确保应急救援指挥部、各应急救援专业组、医院、上级政府和外部其他救援机构之间的建立畅通的通讯网络。</w:t>
      </w:r>
    </w:p>
    <w:p>
      <w:pPr>
        <w:pStyle w:val="12"/>
        <w:spacing w:line="560" w:lineRule="exact"/>
        <w:rPr>
          <w:rFonts w:ascii="Times New Roman" w:hAnsi="Times New Roman" w:eastAsia="仿宋_GB2312" w:cs="Times New Roman"/>
          <w:b/>
          <w:bCs w:val="0"/>
          <w:sz w:val="28"/>
          <w:szCs w:val="28"/>
        </w:rPr>
      </w:pPr>
      <w:bookmarkStart w:id="424" w:name="_Toc402516965"/>
      <w:bookmarkStart w:id="425" w:name="_Toc28002"/>
      <w:bookmarkStart w:id="426" w:name="_Toc22058"/>
      <w:bookmarkStart w:id="427" w:name="_Toc21749"/>
      <w:r>
        <w:rPr>
          <w:rFonts w:ascii="Times New Roman" w:hAnsi="Times New Roman" w:eastAsia="仿宋_GB2312" w:cs="Times New Roman"/>
          <w:bCs w:val="0"/>
          <w:sz w:val="28"/>
          <w:szCs w:val="28"/>
        </w:rPr>
        <w:t>8.8</w:t>
      </w:r>
      <w:r>
        <w:rPr>
          <w:rFonts w:ascii="Times New Roman" w:hAnsi="Times New Roman" w:eastAsia="仿宋_GB2312" w:cs="Times New Roman"/>
          <w:b/>
          <w:bCs w:val="0"/>
          <w:sz w:val="28"/>
          <w:szCs w:val="28"/>
        </w:rPr>
        <w:t>技术保障</w:t>
      </w:r>
      <w:bookmarkEnd w:id="424"/>
      <w:bookmarkEnd w:id="425"/>
      <w:bookmarkEnd w:id="426"/>
      <w:bookmarkEnd w:id="427"/>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由技术科为应急救援提供技术支持和保障，包括：工艺、设备平面图、立面图，排水、供水系统图；供电系统图等，并确保在启动预警前、事件发生后相关技术人员能迅速到位，为指挥决策提供服务。</w:t>
      </w:r>
    </w:p>
    <w:p>
      <w:pPr>
        <w:pStyle w:val="12"/>
        <w:spacing w:line="560" w:lineRule="exact"/>
        <w:rPr>
          <w:rFonts w:ascii="Times New Roman" w:hAnsi="Times New Roman" w:eastAsia="仿宋_GB2312" w:cs="Times New Roman"/>
          <w:b/>
          <w:bCs w:val="0"/>
          <w:sz w:val="28"/>
          <w:szCs w:val="28"/>
        </w:rPr>
      </w:pPr>
      <w:bookmarkStart w:id="428" w:name="_Toc402516966"/>
      <w:bookmarkStart w:id="429" w:name="_Toc7831"/>
      <w:bookmarkStart w:id="430" w:name="_Toc1026"/>
      <w:bookmarkStart w:id="431" w:name="_Toc3704"/>
      <w:r>
        <w:rPr>
          <w:rFonts w:ascii="Times New Roman" w:hAnsi="Times New Roman" w:eastAsia="仿宋_GB2312" w:cs="Times New Roman"/>
          <w:bCs w:val="0"/>
          <w:sz w:val="28"/>
          <w:szCs w:val="28"/>
        </w:rPr>
        <w:t>9</w:t>
      </w:r>
      <w:r>
        <w:rPr>
          <w:rFonts w:hint="eastAsia" w:ascii="Times New Roman" w:hAnsi="Times New Roman" w:eastAsia="仿宋_GB2312" w:cs="Times New Roman"/>
          <w:bCs w:val="0"/>
          <w:sz w:val="28"/>
          <w:szCs w:val="28"/>
        </w:rPr>
        <w:t>．</w:t>
      </w:r>
      <w:r>
        <w:rPr>
          <w:rFonts w:ascii="Times New Roman" w:hAnsi="Times New Roman" w:eastAsia="仿宋_GB2312" w:cs="Times New Roman"/>
          <w:b/>
          <w:bCs w:val="0"/>
          <w:sz w:val="28"/>
          <w:szCs w:val="28"/>
        </w:rPr>
        <w:t>监督与管理</w:t>
      </w:r>
      <w:bookmarkEnd w:id="428"/>
      <w:bookmarkEnd w:id="429"/>
      <w:bookmarkEnd w:id="430"/>
      <w:bookmarkEnd w:id="431"/>
    </w:p>
    <w:p>
      <w:pPr>
        <w:pStyle w:val="12"/>
        <w:spacing w:line="560" w:lineRule="exact"/>
        <w:rPr>
          <w:rFonts w:ascii="Times New Roman" w:hAnsi="Times New Roman" w:eastAsia="仿宋_GB2312" w:cs="Times New Roman"/>
          <w:b/>
          <w:bCs w:val="0"/>
          <w:sz w:val="28"/>
          <w:szCs w:val="28"/>
        </w:rPr>
      </w:pPr>
      <w:bookmarkStart w:id="432" w:name="_Toc402516967"/>
      <w:bookmarkStart w:id="433" w:name="_Toc31800"/>
      <w:bookmarkStart w:id="434" w:name="_Toc9822"/>
      <w:bookmarkStart w:id="435" w:name="_Toc9720"/>
      <w:r>
        <w:rPr>
          <w:rFonts w:ascii="Times New Roman" w:hAnsi="Times New Roman" w:eastAsia="仿宋_GB2312" w:cs="Times New Roman"/>
          <w:bCs w:val="0"/>
          <w:sz w:val="28"/>
          <w:szCs w:val="28"/>
        </w:rPr>
        <w:t>9.1</w:t>
      </w:r>
      <w:r>
        <w:rPr>
          <w:rFonts w:ascii="Times New Roman" w:hAnsi="Times New Roman" w:eastAsia="仿宋_GB2312" w:cs="Times New Roman"/>
          <w:b/>
          <w:bCs w:val="0"/>
          <w:sz w:val="28"/>
          <w:szCs w:val="28"/>
        </w:rPr>
        <w:t>应急预案演练</w:t>
      </w:r>
      <w:bookmarkEnd w:id="432"/>
      <w:bookmarkEnd w:id="433"/>
      <w:bookmarkEnd w:id="434"/>
      <w:bookmarkEnd w:id="435"/>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事件应急预案每年至少组织一次综合性应急预案演练或专项应急预案演练，根据演练情况不断完善应急预案体系。</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对事件应急预案的演练主要验证下列内容：</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（1）通讯指挥系统是否正常有效；</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（2）事件处理步骤是否安全有效；</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（3）应急救援步骤是否安全有效；</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（4）应急救援物资、救援设备是否充足完好；</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（5）应急救援人员对应急预案是否掌握良好。</w:t>
      </w:r>
    </w:p>
    <w:p>
      <w:pPr>
        <w:pStyle w:val="12"/>
        <w:spacing w:line="560" w:lineRule="exact"/>
        <w:rPr>
          <w:rFonts w:ascii="Times New Roman" w:hAnsi="Times New Roman" w:eastAsia="仿宋_GB2312" w:cs="Times New Roman"/>
          <w:b/>
          <w:bCs w:val="0"/>
          <w:sz w:val="28"/>
          <w:szCs w:val="28"/>
        </w:rPr>
      </w:pPr>
      <w:bookmarkStart w:id="436" w:name="_Toc402516968"/>
      <w:bookmarkStart w:id="437" w:name="_Toc1290"/>
      <w:bookmarkStart w:id="438" w:name="_Toc2638"/>
      <w:bookmarkStart w:id="439" w:name="_Toc5134"/>
      <w:r>
        <w:rPr>
          <w:rFonts w:ascii="Times New Roman" w:hAnsi="Times New Roman" w:eastAsia="仿宋_GB2312" w:cs="Times New Roman"/>
          <w:bCs w:val="0"/>
          <w:sz w:val="28"/>
          <w:szCs w:val="28"/>
        </w:rPr>
        <w:t>9.2</w:t>
      </w:r>
      <w:r>
        <w:rPr>
          <w:rFonts w:ascii="Times New Roman" w:hAnsi="Times New Roman" w:eastAsia="仿宋_GB2312" w:cs="Times New Roman"/>
          <w:b/>
          <w:bCs w:val="0"/>
          <w:sz w:val="28"/>
          <w:szCs w:val="28"/>
        </w:rPr>
        <w:t>宣传培训</w:t>
      </w:r>
      <w:bookmarkEnd w:id="436"/>
      <w:bookmarkEnd w:id="437"/>
      <w:bookmarkEnd w:id="438"/>
      <w:bookmarkEnd w:id="439"/>
    </w:p>
    <w:p>
      <w:pPr>
        <w:pStyle w:val="12"/>
        <w:spacing w:line="560" w:lineRule="exact"/>
        <w:rPr>
          <w:rFonts w:ascii="Times New Roman" w:hAnsi="Times New Roman" w:eastAsia="仿宋_GB2312" w:cs="Times New Roman"/>
          <w:b/>
          <w:bCs w:val="0"/>
          <w:sz w:val="28"/>
          <w:szCs w:val="28"/>
        </w:rPr>
      </w:pPr>
      <w:bookmarkStart w:id="440" w:name="_Toc402516969"/>
      <w:bookmarkStart w:id="441" w:name="_Toc25895"/>
      <w:bookmarkStart w:id="442" w:name="_Toc20834"/>
      <w:bookmarkStart w:id="443" w:name="_Toc27129"/>
      <w:r>
        <w:rPr>
          <w:rFonts w:ascii="Times New Roman" w:hAnsi="Times New Roman" w:eastAsia="仿宋_GB2312" w:cs="Times New Roman"/>
          <w:bCs w:val="0"/>
          <w:sz w:val="28"/>
          <w:szCs w:val="28"/>
        </w:rPr>
        <w:t>9.2.</w:t>
      </w:r>
      <w:r>
        <w:rPr>
          <w:rFonts w:hint="eastAsia" w:ascii="Times New Roman" w:hAnsi="Times New Roman" w:eastAsia="仿宋_GB2312" w:cs="Times New Roman"/>
          <w:bCs w:val="0"/>
          <w:sz w:val="28"/>
          <w:szCs w:val="28"/>
        </w:rPr>
        <w:t>1</w:t>
      </w:r>
      <w:r>
        <w:rPr>
          <w:rFonts w:hint="eastAsia" w:ascii="Times New Roman" w:hAnsi="Times New Roman" w:eastAsia="仿宋_GB2312" w:cs="Times New Roman"/>
          <w:b/>
          <w:bCs w:val="0"/>
          <w:sz w:val="28"/>
          <w:szCs w:val="28"/>
        </w:rPr>
        <w:t>对内</w:t>
      </w:r>
      <w:r>
        <w:rPr>
          <w:rFonts w:ascii="Times New Roman" w:hAnsi="Times New Roman" w:eastAsia="仿宋_GB2312" w:cs="Times New Roman"/>
          <w:b/>
          <w:bCs w:val="0"/>
          <w:sz w:val="28"/>
          <w:szCs w:val="28"/>
        </w:rPr>
        <w:t>宣传培训</w:t>
      </w:r>
      <w:bookmarkEnd w:id="440"/>
      <w:bookmarkEnd w:id="441"/>
      <w:bookmarkEnd w:id="442"/>
      <w:bookmarkEnd w:id="443"/>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各单位应每年至少组织一次预案培训工作，通过各种形式的培训应使员工了解到以下内容：</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（1）环境应急预案的内容；</w:t>
      </w:r>
    </w:p>
    <w:p>
      <w:pPr>
        <w:spacing w:line="560" w:lineRule="exact"/>
        <w:ind w:firstLine="560" w:firstLineChars="200"/>
        <w:rPr>
          <w:rFonts w:hint="eastAsia"/>
        </w:rPr>
      </w:pPr>
      <w:r>
        <w:rPr>
          <w:rFonts w:hint="eastAsia" w:ascii="Times New Roman" w:hAnsi="Times New Roman" w:eastAsia="仿宋_GB2312" w:cs="Times New Roman"/>
          <w:color w:val="auto"/>
          <w:kern w:val="0"/>
          <w:sz w:val="28"/>
          <w:szCs w:val="28"/>
          <w:lang w:val="en-US" w:eastAsia="zh-CN" w:bidi="ar-SA"/>
        </w:rPr>
        <w:t>（2）熟悉各专业救援队以各自的应急职责；</w:t>
      </w:r>
    </w:p>
    <w:p>
      <w:pPr>
        <w:spacing w:line="560" w:lineRule="exact"/>
        <w:rPr>
          <w:rFonts w:hint="eastAsia"/>
        </w:rPr>
      </w:pPr>
      <w:r>
        <w:rPr>
          <w:rFonts w:hint="eastAsia" w:ascii="Times New Roman" w:hAnsi="Times New Roman" w:eastAsia="仿宋_GB2312" w:cs="Times New Roman"/>
          <w:color w:val="auto"/>
          <w:kern w:val="0"/>
          <w:sz w:val="28"/>
          <w:szCs w:val="28"/>
          <w:lang w:val="en-US" w:eastAsia="zh-CN" w:bidi="ar-SA"/>
        </w:rPr>
        <w:t xml:space="preserve">    （3）熟悉应急程序和岗位应急处置预案。</w:t>
      </w:r>
    </w:p>
    <w:p>
      <w:pPr>
        <w:pStyle w:val="12"/>
        <w:spacing w:line="560" w:lineRule="exact"/>
        <w:rPr>
          <w:rFonts w:ascii="Times New Roman" w:hAnsi="Times New Roman" w:eastAsia="仿宋_GB2312" w:cs="Times New Roman"/>
          <w:b/>
          <w:bCs w:val="0"/>
          <w:sz w:val="28"/>
          <w:szCs w:val="28"/>
        </w:rPr>
      </w:pPr>
      <w:bookmarkStart w:id="444" w:name="_Toc402516970"/>
      <w:bookmarkStart w:id="445" w:name="_Toc30214"/>
      <w:bookmarkStart w:id="446" w:name="_Toc26541"/>
      <w:bookmarkStart w:id="447" w:name="_Toc3557"/>
      <w:r>
        <w:rPr>
          <w:rFonts w:ascii="Times New Roman" w:hAnsi="Times New Roman" w:eastAsia="仿宋_GB2312" w:cs="Times New Roman"/>
          <w:bCs w:val="0"/>
          <w:sz w:val="28"/>
          <w:szCs w:val="28"/>
        </w:rPr>
        <w:t>9.2.</w:t>
      </w:r>
      <w:r>
        <w:rPr>
          <w:rFonts w:hint="eastAsia" w:ascii="Times New Roman" w:hAnsi="Times New Roman" w:eastAsia="仿宋_GB2312" w:cs="Times New Roman"/>
          <w:bCs w:val="0"/>
          <w:sz w:val="28"/>
          <w:szCs w:val="28"/>
        </w:rPr>
        <w:t>2</w:t>
      </w:r>
      <w:r>
        <w:rPr>
          <w:rFonts w:hint="eastAsia" w:ascii="Times New Roman" w:hAnsi="Times New Roman" w:eastAsia="仿宋_GB2312" w:cs="Times New Roman"/>
          <w:b/>
          <w:bCs w:val="0"/>
          <w:sz w:val="28"/>
          <w:szCs w:val="28"/>
        </w:rPr>
        <w:t>对外</w:t>
      </w:r>
      <w:r>
        <w:rPr>
          <w:rFonts w:ascii="Times New Roman" w:hAnsi="Times New Roman" w:eastAsia="仿宋_GB2312" w:cs="Times New Roman"/>
          <w:b/>
          <w:bCs w:val="0"/>
          <w:sz w:val="28"/>
          <w:szCs w:val="28"/>
        </w:rPr>
        <w:t>宣传培训</w:t>
      </w:r>
      <w:bookmarkEnd w:id="444"/>
      <w:bookmarkEnd w:id="445"/>
      <w:bookmarkEnd w:id="446"/>
      <w:bookmarkEnd w:id="447"/>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对社会或周边人员响应知识由安全员负责，以发放宣传单形式，每二年进行一次，宣传知识内容：</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（1）使用物质的危险特性；</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（2）相邻单位应采取安全预防措施；</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（3）事件发生后的疏散方法。</w:t>
      </w:r>
    </w:p>
    <w:p>
      <w:pPr>
        <w:pStyle w:val="12"/>
        <w:spacing w:line="560" w:lineRule="exact"/>
        <w:rPr>
          <w:rFonts w:ascii="Times New Roman" w:hAnsi="Times New Roman" w:eastAsia="仿宋_GB2312" w:cs="Times New Roman"/>
          <w:b/>
          <w:bCs w:val="0"/>
          <w:sz w:val="28"/>
          <w:szCs w:val="28"/>
        </w:rPr>
      </w:pPr>
      <w:bookmarkStart w:id="448" w:name="_Toc402516971"/>
      <w:bookmarkStart w:id="449" w:name="_Toc3320"/>
      <w:bookmarkStart w:id="450" w:name="_Toc21929"/>
      <w:bookmarkStart w:id="451" w:name="_Toc24203"/>
      <w:r>
        <w:rPr>
          <w:rFonts w:ascii="Times New Roman" w:hAnsi="Times New Roman" w:eastAsia="仿宋_GB2312" w:cs="Times New Roman"/>
          <w:bCs w:val="0"/>
          <w:sz w:val="28"/>
          <w:szCs w:val="28"/>
        </w:rPr>
        <w:t>9.3</w:t>
      </w:r>
      <w:r>
        <w:rPr>
          <w:rFonts w:ascii="Times New Roman" w:hAnsi="Times New Roman" w:eastAsia="仿宋_GB2312" w:cs="Times New Roman"/>
          <w:b/>
          <w:bCs w:val="0"/>
          <w:sz w:val="28"/>
          <w:szCs w:val="28"/>
        </w:rPr>
        <w:t>责任与奖惩</w:t>
      </w:r>
      <w:bookmarkEnd w:id="448"/>
      <w:bookmarkEnd w:id="449"/>
      <w:bookmarkEnd w:id="450"/>
      <w:bookmarkEnd w:id="451"/>
    </w:p>
    <w:p>
      <w:pPr>
        <w:pStyle w:val="12"/>
        <w:spacing w:line="560" w:lineRule="exact"/>
        <w:rPr>
          <w:rFonts w:ascii="Times New Roman" w:hAnsi="Times New Roman" w:eastAsia="仿宋_GB2312" w:cs="Times New Roman"/>
          <w:b/>
          <w:bCs w:val="0"/>
          <w:sz w:val="28"/>
          <w:szCs w:val="28"/>
        </w:rPr>
      </w:pPr>
      <w:bookmarkStart w:id="452" w:name="_Toc402516972"/>
      <w:bookmarkStart w:id="453" w:name="_Toc5091"/>
      <w:bookmarkStart w:id="454" w:name="_Toc24269"/>
      <w:bookmarkStart w:id="455" w:name="_Toc28425"/>
      <w:r>
        <w:rPr>
          <w:rFonts w:ascii="Times New Roman" w:hAnsi="Times New Roman" w:eastAsia="仿宋_GB2312" w:cs="Times New Roman"/>
          <w:bCs w:val="0"/>
          <w:sz w:val="28"/>
          <w:szCs w:val="28"/>
        </w:rPr>
        <w:t>9.3.1</w:t>
      </w:r>
      <w:r>
        <w:rPr>
          <w:rFonts w:ascii="Times New Roman" w:hAnsi="Times New Roman" w:eastAsia="仿宋_GB2312" w:cs="Times New Roman"/>
          <w:b/>
          <w:bCs w:val="0"/>
          <w:sz w:val="28"/>
          <w:szCs w:val="28"/>
        </w:rPr>
        <w:t>奖励</w:t>
      </w:r>
      <w:bookmarkEnd w:id="452"/>
      <w:bookmarkEnd w:id="453"/>
      <w:bookmarkEnd w:id="454"/>
      <w:bookmarkEnd w:id="455"/>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在环境事件应急救援工作中，有下列事迹之一的个人，应依据公司有关规定给予奖励：</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（1）出色完成突发环境事件应急处置任务，成绩显著的；</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（2）对防止或挽救突发环境事件有功的，使公司财产免受或者减少损失的；</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（3）对事件应急准备与响应提出重大建议，实施效果显著的；</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（4）有其他特殊贡献的。</w:t>
      </w:r>
    </w:p>
    <w:p>
      <w:pPr>
        <w:pStyle w:val="12"/>
        <w:spacing w:line="560" w:lineRule="exact"/>
        <w:rPr>
          <w:rFonts w:ascii="Times New Roman" w:hAnsi="Times New Roman" w:eastAsia="仿宋_GB2312" w:cs="Times New Roman"/>
          <w:b/>
          <w:bCs w:val="0"/>
          <w:sz w:val="28"/>
          <w:szCs w:val="28"/>
        </w:rPr>
      </w:pPr>
      <w:bookmarkStart w:id="456" w:name="_Toc402516973"/>
      <w:bookmarkStart w:id="457" w:name="_Toc25228"/>
      <w:bookmarkStart w:id="458" w:name="_Toc22795"/>
      <w:bookmarkStart w:id="459" w:name="_Toc20267"/>
      <w:r>
        <w:rPr>
          <w:rFonts w:ascii="Times New Roman" w:hAnsi="Times New Roman" w:eastAsia="仿宋_GB2312" w:cs="Times New Roman"/>
          <w:bCs w:val="0"/>
          <w:sz w:val="28"/>
          <w:szCs w:val="28"/>
        </w:rPr>
        <w:t>9.3.2</w:t>
      </w:r>
      <w:r>
        <w:rPr>
          <w:rFonts w:ascii="Times New Roman" w:hAnsi="Times New Roman" w:eastAsia="仿宋_GB2312" w:cs="Times New Roman"/>
          <w:b/>
          <w:bCs w:val="0"/>
          <w:sz w:val="28"/>
          <w:szCs w:val="28"/>
        </w:rPr>
        <w:t>责任追究</w:t>
      </w:r>
      <w:bookmarkEnd w:id="456"/>
      <w:bookmarkEnd w:id="457"/>
      <w:bookmarkEnd w:id="458"/>
      <w:bookmarkEnd w:id="459"/>
    </w:p>
    <w:p>
      <w:pPr>
        <w:spacing w:line="560" w:lineRule="exact"/>
        <w:ind w:firstLine="420" w:firstLineChars="200"/>
        <w:rPr>
          <w:rFonts w:hint="eastAsia" w:ascii="Times New Roman" w:hAnsi="Times New Roman" w:eastAsia="仿宋_GB2312" w:cs="Times New Roman"/>
          <w:color w:val="auto"/>
          <w:kern w:val="0"/>
          <w:sz w:val="28"/>
          <w:szCs w:val="28"/>
          <w:lang w:val="en-US" w:eastAsia="zh-CN" w:bidi="ar-SA"/>
        </w:rPr>
      </w:pPr>
      <w:r>
        <w:t>　　</w:t>
      </w:r>
      <w:r>
        <w:rPr>
          <w:rFonts w:hint="eastAsia" w:ascii="Times New Roman" w:hAnsi="Times New Roman" w:eastAsia="仿宋_GB2312" w:cs="Times New Roman"/>
          <w:color w:val="auto"/>
          <w:kern w:val="0"/>
          <w:sz w:val="28"/>
          <w:szCs w:val="28"/>
          <w:lang w:val="en-US" w:eastAsia="zh-CN" w:bidi="ar-SA"/>
        </w:rPr>
        <w:t>在突发环境事件应急工作中，有下列行为之一的，按照公司有关规定给予处罚：</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（1）不认真遵守操作规程，而引发环境事件的；</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（2）不按规定报告、通报突发环境事件真实情况的；</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（3）拒不执行突发环境事件应急预案，不服从命令和指挥者；</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（4）有其他对环境事件应急工作造成危害行为的。</w:t>
      </w:r>
    </w:p>
    <w:p>
      <w:pPr>
        <w:pStyle w:val="12"/>
        <w:spacing w:line="560" w:lineRule="exact"/>
        <w:rPr>
          <w:rFonts w:ascii="Times New Roman" w:hAnsi="Times New Roman" w:eastAsia="仿宋_GB2312" w:cs="Times New Roman"/>
          <w:b/>
          <w:bCs w:val="0"/>
          <w:sz w:val="28"/>
          <w:szCs w:val="28"/>
        </w:rPr>
      </w:pPr>
      <w:bookmarkStart w:id="460" w:name="_Toc402516974"/>
      <w:bookmarkStart w:id="461" w:name="_Toc14402"/>
      <w:bookmarkStart w:id="462" w:name="_Toc15489"/>
      <w:bookmarkStart w:id="463" w:name="_Toc28450"/>
      <w:r>
        <w:rPr>
          <w:rFonts w:ascii="Times New Roman" w:hAnsi="Times New Roman" w:eastAsia="仿宋_GB2312" w:cs="Times New Roman"/>
          <w:bCs w:val="0"/>
          <w:sz w:val="28"/>
          <w:szCs w:val="28"/>
        </w:rPr>
        <w:t>10</w:t>
      </w:r>
      <w:r>
        <w:rPr>
          <w:rFonts w:hint="eastAsia" w:ascii="Times New Roman" w:hAnsi="Times New Roman" w:eastAsia="仿宋_GB2312" w:cs="Times New Roman"/>
          <w:bCs w:val="0"/>
          <w:sz w:val="28"/>
          <w:szCs w:val="28"/>
        </w:rPr>
        <w:t>．</w:t>
      </w:r>
      <w:r>
        <w:rPr>
          <w:rFonts w:ascii="Times New Roman" w:hAnsi="Times New Roman" w:eastAsia="仿宋_GB2312" w:cs="Times New Roman"/>
          <w:b/>
          <w:bCs w:val="0"/>
          <w:sz w:val="28"/>
          <w:szCs w:val="28"/>
        </w:rPr>
        <w:t>附则</w:t>
      </w:r>
      <w:bookmarkEnd w:id="460"/>
      <w:bookmarkEnd w:id="461"/>
      <w:bookmarkEnd w:id="462"/>
      <w:bookmarkEnd w:id="463"/>
    </w:p>
    <w:p>
      <w:pPr>
        <w:pStyle w:val="12"/>
        <w:spacing w:line="560" w:lineRule="exact"/>
        <w:rPr>
          <w:rFonts w:ascii="Times New Roman" w:hAnsi="Times New Roman" w:eastAsia="仿宋_GB2312" w:cs="Times New Roman"/>
          <w:b/>
          <w:bCs w:val="0"/>
          <w:sz w:val="28"/>
          <w:szCs w:val="28"/>
        </w:rPr>
      </w:pPr>
      <w:bookmarkStart w:id="464" w:name="_Toc402516975"/>
      <w:bookmarkStart w:id="465" w:name="_Toc28221"/>
      <w:bookmarkStart w:id="466" w:name="_Toc8706"/>
      <w:bookmarkStart w:id="467" w:name="_Toc11927"/>
      <w:r>
        <w:rPr>
          <w:rFonts w:ascii="Times New Roman" w:hAnsi="Times New Roman" w:eastAsia="仿宋_GB2312" w:cs="Times New Roman"/>
          <w:bCs w:val="0"/>
          <w:sz w:val="28"/>
          <w:szCs w:val="28"/>
        </w:rPr>
        <w:t>10.1</w:t>
      </w:r>
      <w:r>
        <w:rPr>
          <w:rFonts w:ascii="Times New Roman" w:hAnsi="Times New Roman" w:eastAsia="仿宋_GB2312" w:cs="Times New Roman"/>
          <w:b/>
          <w:bCs w:val="0"/>
          <w:sz w:val="28"/>
          <w:szCs w:val="28"/>
        </w:rPr>
        <w:t>名词术语</w:t>
      </w:r>
      <w:bookmarkEnd w:id="464"/>
      <w:bookmarkEnd w:id="465"/>
      <w:bookmarkEnd w:id="466"/>
      <w:bookmarkEnd w:id="467"/>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（1）突发环境事件：因事件或意外性事件等因素，致使环境受到污染或破坏，公众的生命健康和财产受到危害或威胁的紧急情况。</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（2）应急预案：针对可能发生的突发环境事件，为确保迅速、有序、高效地开展应急处置，减少人员伤亡和经济损失而预先制定的计划或方案。</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（3）应急分级：指对突发性环境事件所造成的危害程度划分的级别。</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（4）应急响应：事件发生后，有关组织或人员采取的应急行动。</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（5）环境风险：突发环境事件对环境（或健康）的危险程度。</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（6）危险源：指可能导致环境破、人员伤害、财产损失等情况组合的根源或状态。</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（7）环境敏感点：参照《建设项目环境影响评价分类管理名录》中“环境敏感区”的定义。</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（8）应急演练：为检验应急预案的有效性、应急准备的完善性、应急响应能力的适应性和应急人员的协同性而进行的一种模拟应急响</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（9）环境应急：针对可能或已发生的突发性环境污染事件需要立即采取某些超出正常工作程序的行动，以避免事件发生或减轻事件后果的状态，也称为紧急状态；同时也泛指立即采取超出正常工作程序的行动。</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（10）应急监测：环境应急情况下，为发现和查明环境污染情况和污染范围而进行的环境监测。包括定点监测和动态监测。</w:t>
      </w:r>
    </w:p>
    <w:p>
      <w:pPr>
        <w:pStyle w:val="12"/>
        <w:spacing w:line="560" w:lineRule="exact"/>
        <w:rPr>
          <w:rFonts w:ascii="Times New Roman" w:hAnsi="Times New Roman" w:eastAsia="仿宋_GB2312" w:cs="Times New Roman"/>
          <w:b/>
          <w:bCs w:val="0"/>
          <w:sz w:val="28"/>
          <w:szCs w:val="28"/>
        </w:rPr>
      </w:pPr>
      <w:bookmarkStart w:id="468" w:name="_Toc402516976"/>
      <w:bookmarkStart w:id="469" w:name="_Toc29286"/>
      <w:bookmarkStart w:id="470" w:name="_Toc28291"/>
      <w:bookmarkStart w:id="471" w:name="_Toc12511"/>
      <w:r>
        <w:rPr>
          <w:rFonts w:ascii="Times New Roman" w:hAnsi="Times New Roman" w:eastAsia="仿宋_GB2312" w:cs="Times New Roman"/>
          <w:bCs w:val="0"/>
          <w:sz w:val="28"/>
          <w:szCs w:val="28"/>
        </w:rPr>
        <w:t>10.2</w:t>
      </w:r>
      <w:r>
        <w:rPr>
          <w:rFonts w:ascii="Times New Roman" w:hAnsi="Times New Roman" w:eastAsia="仿宋_GB2312" w:cs="Times New Roman"/>
          <w:b/>
          <w:bCs w:val="0"/>
          <w:sz w:val="28"/>
          <w:szCs w:val="28"/>
        </w:rPr>
        <w:t>预案解释</w:t>
      </w:r>
      <w:bookmarkEnd w:id="468"/>
      <w:bookmarkEnd w:id="469"/>
      <w:bookmarkEnd w:id="470"/>
      <w:bookmarkEnd w:id="471"/>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本预案由陕西富化化工有限责任公司安全环境科负责解释。</w:t>
      </w:r>
    </w:p>
    <w:p>
      <w:pPr>
        <w:pStyle w:val="12"/>
        <w:spacing w:line="560" w:lineRule="exact"/>
        <w:rPr>
          <w:rFonts w:ascii="Times New Roman" w:hAnsi="Times New Roman" w:eastAsia="仿宋_GB2312" w:cs="Times New Roman"/>
          <w:b/>
          <w:bCs w:val="0"/>
          <w:sz w:val="28"/>
          <w:szCs w:val="28"/>
        </w:rPr>
      </w:pPr>
      <w:bookmarkStart w:id="472" w:name="_Toc402516977"/>
      <w:bookmarkStart w:id="473" w:name="_Toc20809"/>
      <w:bookmarkStart w:id="474" w:name="_Toc19424"/>
      <w:bookmarkStart w:id="475" w:name="_Toc19453"/>
      <w:r>
        <w:rPr>
          <w:rFonts w:ascii="Times New Roman" w:hAnsi="Times New Roman" w:eastAsia="仿宋_GB2312" w:cs="Times New Roman"/>
          <w:bCs w:val="0"/>
          <w:sz w:val="28"/>
          <w:szCs w:val="28"/>
        </w:rPr>
        <w:t>10.3</w:t>
      </w:r>
      <w:r>
        <w:rPr>
          <w:rFonts w:ascii="Times New Roman" w:hAnsi="Times New Roman" w:eastAsia="仿宋_GB2312" w:cs="Times New Roman"/>
          <w:b/>
          <w:bCs w:val="0"/>
          <w:sz w:val="28"/>
          <w:szCs w:val="28"/>
        </w:rPr>
        <w:t>修订情况</w:t>
      </w:r>
      <w:bookmarkEnd w:id="472"/>
      <w:bookmarkEnd w:id="473"/>
      <w:bookmarkEnd w:id="474"/>
      <w:bookmarkEnd w:id="475"/>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随着生产工艺和生产设备发生变化、各单位职责的完善、应急资源发生变化或者在应急过程中发现的新问题和新情况时，应及时对应急预案进行修订完善。</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正常情况下，突发环境应急预案每三年修订一次，当有下列情形之一时，应对突发环境应急预案及时进行修订：</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①本单位生产工艺和技术发生重大变化的；</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②相关单位和人员发生变化或者应急组织指挥体系或职责调整的；</w:t>
      </w:r>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③环境应急预案依据的法律、法规、规章等发生变化的；</w:t>
      </w:r>
    </w:p>
    <w:p>
      <w:pPr>
        <w:spacing w:line="560" w:lineRule="exact"/>
        <w:ind w:firstLine="560" w:firstLineChars="200"/>
      </w:pPr>
      <w:r>
        <w:rPr>
          <w:rFonts w:hint="eastAsia" w:ascii="Times New Roman" w:hAnsi="Times New Roman" w:eastAsia="仿宋_GB2312" w:cs="Times New Roman"/>
          <w:color w:val="auto"/>
          <w:kern w:val="0"/>
          <w:sz w:val="28"/>
          <w:szCs w:val="28"/>
          <w:lang w:val="en-US" w:eastAsia="zh-CN" w:bidi="ar-SA"/>
        </w:rPr>
        <w:t>④环保主管部门认为应适时修订的其他情形。</w:t>
      </w:r>
    </w:p>
    <w:p>
      <w:pPr>
        <w:pStyle w:val="12"/>
        <w:spacing w:line="560" w:lineRule="exact"/>
        <w:rPr>
          <w:rFonts w:ascii="Times New Roman" w:hAnsi="Times New Roman" w:eastAsia="仿宋_GB2312" w:cs="Times New Roman"/>
          <w:b/>
          <w:bCs w:val="0"/>
          <w:sz w:val="28"/>
          <w:szCs w:val="28"/>
        </w:rPr>
      </w:pPr>
      <w:bookmarkStart w:id="476" w:name="_Toc402516978"/>
      <w:bookmarkStart w:id="477" w:name="_Toc6522"/>
      <w:bookmarkStart w:id="478" w:name="_Toc32093"/>
      <w:bookmarkStart w:id="479" w:name="_Toc10479"/>
      <w:r>
        <w:rPr>
          <w:rFonts w:ascii="Times New Roman" w:hAnsi="Times New Roman" w:eastAsia="仿宋_GB2312" w:cs="Times New Roman"/>
          <w:bCs w:val="0"/>
          <w:sz w:val="28"/>
          <w:szCs w:val="28"/>
        </w:rPr>
        <w:t>10.4</w:t>
      </w:r>
      <w:r>
        <w:rPr>
          <w:rFonts w:ascii="Times New Roman" w:hAnsi="Times New Roman" w:eastAsia="仿宋_GB2312" w:cs="Times New Roman"/>
          <w:b/>
          <w:bCs w:val="0"/>
          <w:sz w:val="28"/>
          <w:szCs w:val="28"/>
        </w:rPr>
        <w:t>实施时期</w:t>
      </w:r>
      <w:bookmarkEnd w:id="476"/>
      <w:bookmarkEnd w:id="477"/>
      <w:bookmarkEnd w:id="478"/>
      <w:bookmarkEnd w:id="479"/>
    </w:p>
    <w:p>
      <w:pPr>
        <w:spacing w:line="560" w:lineRule="exact"/>
        <w:ind w:firstLine="560" w:firstLineChars="20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本应急预案经公司审批后，发布之日起执行。</w:t>
      </w:r>
    </w:p>
    <w:p>
      <w:pPr>
        <w:pStyle w:val="12"/>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 xml:space="preserve">                         </w:t>
      </w:r>
      <w:bookmarkStart w:id="480" w:name="_Toc402516979"/>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color w:val="auto"/>
          <w:kern w:val="0"/>
          <w:sz w:val="28"/>
          <w:szCs w:val="28"/>
          <w:lang w:val="en-US" w:eastAsia="zh-CN" w:bidi="ar-SA"/>
        </w:rPr>
      </w:pPr>
    </w:p>
    <w:p>
      <w:pPr>
        <w:pStyle w:val="12"/>
        <w:rPr>
          <w:rFonts w:hint="eastAsia" w:ascii="Times New Roman" w:hAnsi="Times New Roman" w:eastAsia="仿宋_GB2312" w:cs="Times New Roman"/>
          <w:bCs w:val="0"/>
          <w:sz w:val="28"/>
          <w:szCs w:val="28"/>
        </w:rPr>
      </w:pPr>
      <w:bookmarkStart w:id="481" w:name="_Toc23946"/>
      <w:bookmarkStart w:id="482" w:name="_Toc5530"/>
      <w:bookmarkStart w:id="483" w:name="_Toc2731"/>
      <w:r>
        <w:rPr>
          <w:rFonts w:hint="eastAsia" w:ascii="Times New Roman" w:hAnsi="Times New Roman" w:eastAsia="仿宋_GB2312" w:cs="Times New Roman"/>
          <w:bCs w:val="0"/>
          <w:sz w:val="28"/>
          <w:szCs w:val="28"/>
        </w:rPr>
        <w:t>附件</w:t>
      </w:r>
      <w:r>
        <w:rPr>
          <w:rFonts w:ascii="Times New Roman" w:hAnsi="Times New Roman" w:eastAsia="仿宋_GB2312" w:cs="Times New Roman"/>
          <w:bCs w:val="0"/>
          <w:sz w:val="28"/>
          <w:szCs w:val="28"/>
        </w:rPr>
        <w:t>1</w:t>
      </w:r>
      <w:r>
        <w:rPr>
          <w:rFonts w:hint="eastAsia" w:ascii="Times New Roman" w:hAnsi="Times New Roman" w:eastAsia="仿宋_GB2312" w:cs="Times New Roman"/>
          <w:bCs w:val="0"/>
          <w:sz w:val="28"/>
          <w:szCs w:val="28"/>
        </w:rPr>
        <w:t xml:space="preserve">  应急救援组织机构名单</w:t>
      </w:r>
      <w:bookmarkEnd w:id="480"/>
      <w:bookmarkEnd w:id="481"/>
      <w:bookmarkEnd w:id="482"/>
      <w:bookmarkEnd w:id="483"/>
    </w:p>
    <w:p>
      <w:pPr>
        <w:pStyle w:val="6"/>
        <w:spacing w:afterLines="100"/>
        <w:jc w:val="center"/>
        <w:rPr>
          <w:rFonts w:hint="eastAsia" w:ascii="黑体" w:hAnsi="Times New Roman" w:eastAsia="黑体"/>
          <w:bCs/>
          <w:sz w:val="28"/>
          <w:szCs w:val="28"/>
        </w:rPr>
      </w:pPr>
    </w:p>
    <w:p>
      <w:pPr>
        <w:jc w:val="center"/>
        <w:rPr>
          <w:rFonts w:hint="eastAsia"/>
          <w:sz w:val="48"/>
          <w:szCs w:val="48"/>
        </w:rPr>
      </w:pPr>
      <w:r>
        <w:rPr>
          <w:rFonts w:hint="eastAsia" w:ascii="黑体" w:eastAsia="黑体"/>
          <w:bCs/>
          <w:sz w:val="48"/>
          <w:szCs w:val="48"/>
        </w:rPr>
        <w:t>突发环境事件应急救援组织机构图</w:t>
      </w:r>
    </w:p>
    <w:p>
      <w:pPr>
        <w:pStyle w:val="6"/>
        <w:spacing w:afterLines="100"/>
        <w:jc w:val="center"/>
        <w:rPr>
          <w:rFonts w:hint="eastAsia" w:ascii="黑体" w:hAnsi="Times New Roman" w:eastAsia="黑体"/>
          <w:bCs/>
          <w:sz w:val="28"/>
          <w:szCs w:val="28"/>
        </w:rPr>
      </w:pPr>
    </w:p>
    <w:tbl>
      <w:tblPr>
        <w:tblStyle w:val="26"/>
        <w:tblW w:w="63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3"/>
        <w:gridCol w:w="3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3073" w:type="dxa"/>
            <w:vAlign w:val="center"/>
          </w:tcPr>
          <w:p>
            <w:pPr>
              <w:pStyle w:val="6"/>
              <w:spacing w:line="500" w:lineRule="exact"/>
              <w:jc w:val="center"/>
              <w:rPr>
                <w:rFonts w:hint="eastAsia" w:ascii="仿宋_GB2312" w:hAnsi="仿宋" w:eastAsia="仿宋_GB2312"/>
                <w:sz w:val="28"/>
                <w:szCs w:val="28"/>
              </w:rPr>
            </w:pPr>
            <w:r>
              <w:rPr>
                <w:rFonts w:hint="eastAsia" w:ascii="仿宋_GB2312" w:hAnsi="仿宋" w:eastAsia="仿宋_GB2312"/>
                <w:sz w:val="28"/>
                <w:szCs w:val="28"/>
              </w:rPr>
              <w:t>总指挥</w:t>
            </w:r>
          </w:p>
        </w:tc>
        <w:tc>
          <w:tcPr>
            <w:tcW w:w="3258" w:type="dxa"/>
            <w:vAlign w:val="center"/>
          </w:tcPr>
          <w:p>
            <w:pPr>
              <w:pStyle w:val="6"/>
              <w:spacing w:line="500" w:lineRule="exact"/>
              <w:jc w:val="center"/>
              <w:rPr>
                <w:rFonts w:hint="eastAsia" w:ascii="仿宋_GB2312" w:hAnsi="仿宋" w:eastAsia="仿宋_GB2312"/>
                <w:sz w:val="28"/>
                <w:szCs w:val="28"/>
              </w:rPr>
            </w:pPr>
            <w:r>
              <w:rPr>
                <w:rFonts w:hint="eastAsia" w:ascii="仿宋_GB2312" w:hAnsi="仿宋" w:eastAsia="仿宋_GB2312"/>
                <w:sz w:val="28"/>
                <w:szCs w:val="28"/>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3073" w:type="dxa"/>
            <w:vAlign w:val="center"/>
          </w:tcPr>
          <w:p>
            <w:pPr>
              <w:pStyle w:val="6"/>
              <w:spacing w:line="500" w:lineRule="exact"/>
              <w:jc w:val="center"/>
              <w:rPr>
                <w:rFonts w:hint="eastAsia" w:ascii="仿宋_GB2312" w:hAnsi="仿宋" w:eastAsia="仿宋_GB2312"/>
                <w:sz w:val="28"/>
                <w:szCs w:val="28"/>
              </w:rPr>
            </w:pPr>
            <w:r>
              <w:rPr>
                <w:rFonts w:hint="eastAsia" w:ascii="仿宋_GB2312" w:hAnsi="仿宋" w:eastAsia="仿宋_GB2312"/>
                <w:sz w:val="28"/>
                <w:szCs w:val="28"/>
              </w:rPr>
              <w:t>副总指挥</w:t>
            </w:r>
          </w:p>
        </w:tc>
        <w:tc>
          <w:tcPr>
            <w:tcW w:w="3258" w:type="dxa"/>
            <w:vAlign w:val="center"/>
          </w:tcPr>
          <w:p>
            <w:pPr>
              <w:pStyle w:val="6"/>
              <w:spacing w:line="500" w:lineRule="exact"/>
              <w:jc w:val="center"/>
              <w:rPr>
                <w:rFonts w:hint="eastAsia" w:ascii="仿宋_GB2312" w:hAnsi="仿宋" w:eastAsia="仿宋_GB2312"/>
                <w:sz w:val="28"/>
                <w:szCs w:val="28"/>
              </w:rPr>
            </w:pPr>
            <w:r>
              <w:rPr>
                <w:rFonts w:hint="eastAsia" w:ascii="仿宋_GB2312" w:hAnsi="仿宋" w:eastAsia="仿宋_GB2312"/>
                <w:sz w:val="28"/>
                <w:szCs w:val="28"/>
              </w:rPr>
              <w:t>常务副总、</w:t>
            </w:r>
            <w:r>
              <w:rPr>
                <w:rFonts w:hint="eastAsia" w:ascii="仿宋_GB2312" w:hAnsi="仿宋" w:eastAsia="仿宋_GB2312"/>
                <w:sz w:val="28"/>
                <w:szCs w:val="28"/>
                <w:lang w:eastAsia="zh-CN"/>
              </w:rPr>
              <w:t>总经理助理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3073" w:type="dxa"/>
            <w:vAlign w:val="center"/>
          </w:tcPr>
          <w:p>
            <w:pPr>
              <w:pStyle w:val="6"/>
              <w:spacing w:line="500" w:lineRule="exact"/>
              <w:jc w:val="center"/>
              <w:rPr>
                <w:rFonts w:hint="eastAsia" w:ascii="仿宋_GB2312" w:hAnsi="仿宋" w:eastAsia="仿宋_GB2312"/>
                <w:sz w:val="28"/>
                <w:szCs w:val="28"/>
              </w:rPr>
            </w:pPr>
            <w:r>
              <w:rPr>
                <w:rFonts w:hint="eastAsia" w:ascii="仿宋_GB2312" w:hAnsi="仿宋" w:eastAsia="仿宋_GB2312"/>
                <w:sz w:val="28"/>
                <w:szCs w:val="28"/>
              </w:rPr>
              <w:t>现场指挥</w:t>
            </w:r>
          </w:p>
        </w:tc>
        <w:tc>
          <w:tcPr>
            <w:tcW w:w="3258" w:type="dxa"/>
            <w:vAlign w:val="center"/>
          </w:tcPr>
          <w:p>
            <w:pPr>
              <w:pStyle w:val="6"/>
              <w:spacing w:line="500" w:lineRule="exact"/>
              <w:jc w:val="center"/>
              <w:rPr>
                <w:rFonts w:hint="eastAsia" w:ascii="仿宋_GB2312" w:hAnsi="仿宋" w:eastAsia="仿宋_GB2312"/>
                <w:sz w:val="28"/>
                <w:szCs w:val="28"/>
              </w:rPr>
            </w:pPr>
            <w:r>
              <w:rPr>
                <w:rFonts w:hint="eastAsia" w:ascii="仿宋_GB2312" w:hAnsi="仿宋" w:eastAsia="仿宋_GB2312"/>
                <w:sz w:val="28"/>
                <w:szCs w:val="28"/>
                <w:lang w:eastAsia="zh-CN"/>
              </w:rPr>
              <w:t>总经理助理</w:t>
            </w:r>
          </w:p>
        </w:tc>
      </w:tr>
    </w:tbl>
    <w:p>
      <w:pPr>
        <w:pStyle w:val="6"/>
        <w:tabs>
          <w:tab w:val="left" w:pos="1260"/>
          <w:tab w:val="left" w:pos="2520"/>
          <w:tab w:val="left" w:pos="3780"/>
          <w:tab w:val="left" w:pos="5040"/>
          <w:tab w:val="left" w:pos="6300"/>
          <w:tab w:val="left" w:pos="8820"/>
        </w:tabs>
        <w:spacing w:line="360" w:lineRule="auto"/>
        <w:ind w:firstLine="560" w:firstLineChars="200"/>
        <w:rPr>
          <w:rFonts w:hint="eastAsia" w:ascii="仿宋_GB2312" w:hAnsi="仿宋" w:eastAsia="仿宋_GB2312"/>
          <w:sz w:val="28"/>
          <w:szCs w:val="28"/>
        </w:rPr>
      </w:pP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2729230</wp:posOffset>
                </wp:positionH>
                <wp:positionV relativeFrom="paragraph">
                  <wp:posOffset>15240</wp:posOffset>
                </wp:positionV>
                <wp:extent cx="635" cy="662305"/>
                <wp:effectExtent l="38100" t="0" r="37465" b="4445"/>
                <wp:wrapNone/>
                <wp:docPr id="21" name="任意多边形 4"/>
                <wp:cNvGraphicFramePr/>
                <a:graphic xmlns:a="http://schemas.openxmlformats.org/drawingml/2006/main">
                  <a:graphicData uri="http://schemas.microsoft.com/office/word/2010/wordprocessingShape">
                    <wps:wsp>
                      <wps:cNvSpPr/>
                      <wps:spPr>
                        <a:xfrm>
                          <a:off x="0" y="0"/>
                          <a:ext cx="635" cy="662305"/>
                        </a:xfrm>
                        <a:custGeom>
                          <a:avLst/>
                          <a:gdLst/>
                          <a:ahLst/>
                          <a:cxnLst/>
                          <a:pathLst>
                            <a:path w="1" h="1043">
                              <a:moveTo>
                                <a:pt x="0" y="0"/>
                              </a:moveTo>
                              <a:lnTo>
                                <a:pt x="0" y="1043"/>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4" o:spid="_x0000_s1026" o:spt="100" style="position:absolute;left:0pt;margin-left:214.9pt;margin-top:1.2pt;height:52.15pt;width:0.05pt;z-index:251678720;mso-width-relative:page;mso-height-relative:page;" filled="f" stroked="t" coordsize="1,1043" o:gfxdata="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tuv&#10;edYAAAAJAQAADwAAAAAAAAABACAAAAAiAAAAZHJzL2Rvd25yZXYueG1sUEsBAhQAFAAAAAgAh07i&#10;QDi+h4skAgAATgQAAA4AAAAAAAAAAQAgAAAAJQEAAGRycy9lMm9Eb2MueG1sUEsFBgAAAAAGAAYA&#10;WQEAALsFAAAAAA==&#10;" path="m0,0l0,1043e">
                <v:fill on="f" focussize="0,0"/>
                <v:stroke color="#000000" joinstyle="round" endarrow="block"/>
                <v:imagedata o:title=""/>
                <o:lock v:ext="edit" aspectratio="f"/>
              </v:shape>
            </w:pict>
          </mc:Fallback>
        </mc:AlternateContent>
      </w: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4102100</wp:posOffset>
                </wp:positionH>
                <wp:positionV relativeFrom="paragraph">
                  <wp:posOffset>309880</wp:posOffset>
                </wp:positionV>
                <wp:extent cx="635" cy="495300"/>
                <wp:effectExtent l="37465" t="0" r="38100" b="0"/>
                <wp:wrapNone/>
                <wp:docPr id="34" name="直线 13"/>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323pt;margin-top:24.4pt;height:39pt;width:0.05pt;z-index:251692032;mso-width-relative:page;mso-height-relative:page;" filled="f" stroked="t" coordsize="21600,21600" o:gfxdata="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XXCPbZAAAACgEAAA8AAAAAAAAA&#10;AQAgAAAAIgAAAGRycy9kb3ducmV2LnhtbFBLAQIUABQAAAAIAIdO4kAmyGrJ1wEAAJQDAAAOAAAA&#10;AAAAAAEAIAAAACgBAABkcnMvZTJvRG9jLnhtbFBLBQYAAAAABgAGAFkBAABxBQAAAAA=&#10;">
                <v:fill on="f" focussize="0,0"/>
                <v:stroke color="#000000" joinstyle="round" endarrow="block"/>
                <v:imagedata o:title=""/>
                <o:lock v:ext="edit" aspectratio="f"/>
              </v:lin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9984" behindDoc="0" locked="0" layoutInCell="1" allowOverlap="1">
                <wp:simplePos x="0" y="0"/>
                <wp:positionH relativeFrom="column">
                  <wp:posOffset>3441700</wp:posOffset>
                </wp:positionH>
                <wp:positionV relativeFrom="paragraph">
                  <wp:posOffset>311785</wp:posOffset>
                </wp:positionV>
                <wp:extent cx="635" cy="495300"/>
                <wp:effectExtent l="37465" t="0" r="38100" b="0"/>
                <wp:wrapNone/>
                <wp:docPr id="32" name="直线 8"/>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71pt;margin-top:24.55pt;height:39pt;width:0.05pt;z-index:251689984;mso-width-relative:page;mso-height-relative:page;" filled="f" stroked="t" coordsize="21600,21600" o:gfxdata="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YwMbraAAAACgEAAA8AAAAAAAAA&#10;AQAgAAAAIgAAAGRycy9kb3ducmV2LnhtbFBLAQIUABQAAAAIAIdO4kDlKmlI1gEAAJMDAAAOAAAA&#10;AAAAAAEAIAAAACkBAABkcnMvZTJvRG9jLnhtbFBLBQYAAAAABgAGAFkBAABxBQAAAAA=&#10;">
                <v:fill on="f" focussize="0,0"/>
                <v:stroke color="#000000" joinstyle="round" endarrow="block"/>
                <v:imagedata o:title=""/>
                <o:lock v:ext="edit" aspectratio="f"/>
              </v:lin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7936" behindDoc="0" locked="0" layoutInCell="1" allowOverlap="1">
                <wp:simplePos x="0" y="0"/>
                <wp:positionH relativeFrom="column">
                  <wp:posOffset>2717800</wp:posOffset>
                </wp:positionH>
                <wp:positionV relativeFrom="paragraph">
                  <wp:posOffset>300990</wp:posOffset>
                </wp:positionV>
                <wp:extent cx="635" cy="495300"/>
                <wp:effectExtent l="37465" t="0" r="38100" b="0"/>
                <wp:wrapNone/>
                <wp:docPr id="30" name="直线 14"/>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margin-left:214pt;margin-top:23.7pt;height:39pt;width:0.05pt;z-index:251687936;mso-width-relative:page;mso-height-relative:page;" filled="f" stroked="t" coordsize="21600,21600" o:gfxdata="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k/pF2gAAAAoBAAAPAAAAAAAA&#10;AAEAIAAAACIAAABkcnMvZG93bnJldi54bWxQSwECFAAUAAAACACHTuJAOigsBdcBAACUAwAADgAA&#10;AAAAAAABACAAAAApAQAAZHJzL2Uyb0RvYy54bWxQSwUGAAAAAAYABgBZAQAAcgUAAAAA&#10;">
                <v:fill on="f" focussize="0,0"/>
                <v:stroke color="#000000" joinstyle="round" endarrow="block"/>
                <v:imagedata o:title=""/>
                <o:lock v:ext="edit" aspectratio="f"/>
              </v:lin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5888" behindDoc="0" locked="0" layoutInCell="1" allowOverlap="1">
                <wp:simplePos x="0" y="0"/>
                <wp:positionH relativeFrom="column">
                  <wp:posOffset>1975485</wp:posOffset>
                </wp:positionH>
                <wp:positionV relativeFrom="paragraph">
                  <wp:posOffset>311785</wp:posOffset>
                </wp:positionV>
                <wp:extent cx="635" cy="495300"/>
                <wp:effectExtent l="37465" t="0" r="38100" b="0"/>
                <wp:wrapNone/>
                <wp:docPr id="28" name="直线 6"/>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155.55pt;margin-top:24.55pt;height:39pt;width:0.05pt;z-index:251685888;mso-width-relative:page;mso-height-relative:page;" filled="f" stroked="t" coordsize="21600,21600" o:gfxdata="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o/QT9kAAAAKAQAADwAAAAAAAAAB&#10;ACAAAAAiAAAAZHJzL2Rvd25yZXYueG1sUEsBAhQAFAAAAAgAh07iQDaJw2jWAQAAkwMAAA4AAAAA&#10;AAAAAQAgAAAAKAEAAGRycy9lMm9Eb2MueG1sUEsFBgAAAAAGAAYAWQEAAHAFAAAAAA==&#10;">
                <v:fill on="f" focussize="0,0"/>
                <v:stroke color="#000000" joinstyle="round" endarrow="block"/>
                <v:imagedata o:title=""/>
                <o:lock v:ext="edit" aspectratio="f"/>
              </v:lin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506095</wp:posOffset>
                </wp:positionH>
                <wp:positionV relativeFrom="paragraph">
                  <wp:posOffset>309880</wp:posOffset>
                </wp:positionV>
                <wp:extent cx="635" cy="495300"/>
                <wp:effectExtent l="37465" t="0" r="38100" b="0"/>
                <wp:wrapNone/>
                <wp:docPr id="24" name="直线 15"/>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39.85pt;margin-top:24.4pt;height:39pt;width:0.05pt;z-index:251681792;mso-width-relative:page;mso-height-relative:page;" filled="f" stroked="t" coordsize="21600,21600" o:gfxdata="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Ci6qjZAAAACAEAAA8AAAAAAAAA&#10;AQAgAAAAIgAAAGRycy9kb3ducmV2LnhtbFBLAQIUABQAAAAIAIdO4kBx2Rnc1wEAAJQDAAAOAAAA&#10;AAAAAAEAIAAAACgBAABkcnMvZTJvRG9jLnhtbFBLBQYAAAAABgAGAFkBAABxBQAAAAA=&#10;">
                <v:fill on="f" focussize="0,0"/>
                <v:stroke color="#000000" joinstyle="round" endarrow="block"/>
                <v:imagedata o:title=""/>
                <o:lock v:ext="edit" aspectratio="f"/>
              </v:lin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1243965</wp:posOffset>
                </wp:positionH>
                <wp:positionV relativeFrom="paragraph">
                  <wp:posOffset>309880</wp:posOffset>
                </wp:positionV>
                <wp:extent cx="635" cy="495300"/>
                <wp:effectExtent l="37465" t="0" r="38100" b="0"/>
                <wp:wrapNone/>
                <wp:docPr id="26" name="直线 7"/>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 o:spid="_x0000_s1026" o:spt="20" style="position:absolute;left:0pt;margin-left:97.95pt;margin-top:24.4pt;height:39pt;width:0.05pt;z-index:251683840;mso-width-relative:page;mso-height-relative:page;" filled="f" stroked="t" coordsize="21600,21600" o:gfxdata="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uVmT9kAAAAKAQAADwAAAAAAAAAB&#10;ACAAAAAiAAAAZHJzL2Rvd25yZXYueG1sUEsBAhQAFAAAAAgAh07iQBHXfRLWAQAAkwMAAA4AAAAA&#10;AAAAAQAgAAAAKAEAAGRycy9lMm9Eb2MueG1sUEsFBgAAAAAGAAYAWQEAAHAFAAAAAA==&#10;">
                <v:fill on="f" focussize="0,0"/>
                <v:stroke color="#000000" joinstyle="round" endarrow="block"/>
                <v:imagedata o:title=""/>
                <o:lock v:ext="edit" aspectratio="f"/>
              </v:lin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4799330</wp:posOffset>
                </wp:positionH>
                <wp:positionV relativeFrom="paragraph">
                  <wp:posOffset>301625</wp:posOffset>
                </wp:positionV>
                <wp:extent cx="635" cy="495300"/>
                <wp:effectExtent l="37465" t="0" r="38100" b="0"/>
                <wp:wrapNone/>
                <wp:docPr id="36" name="直线 5"/>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 o:spid="_x0000_s1026" o:spt="20" style="position:absolute;left:0pt;margin-left:377.9pt;margin-top:23.75pt;height:39pt;width:0.05pt;z-index:251694080;mso-width-relative:page;mso-height-relative:page;" filled="f" stroked="t" coordsize="21600,21600" o:gfxdata="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nPir9oAAAAKAQAADwAAAAAAAAAB&#10;ACAAAAAiAAAAZHJzL2Rvd25yZXYueG1sUEsBAhQAFAAAAAgAh07iQP+CdcfVAQAAkwMAAA4AAAAA&#10;AAAAAQAgAAAAKQEAAGRycy9lMm9Eb2MueG1sUEsFBgAAAAAGAAYAWQEAAHAFAAAAAA==&#10;">
                <v:fill on="f" focussize="0,0"/>
                <v:stroke color="#000000" joinstyle="round" endarrow="block"/>
                <v:imagedata o:title=""/>
                <o:lock v:ext="edit" aspectratio="f"/>
              </v:lin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96128" behindDoc="0" locked="0" layoutInCell="1" allowOverlap="1">
                <wp:simplePos x="0" y="0"/>
                <wp:positionH relativeFrom="column">
                  <wp:posOffset>5560060</wp:posOffset>
                </wp:positionH>
                <wp:positionV relativeFrom="paragraph">
                  <wp:posOffset>316865</wp:posOffset>
                </wp:positionV>
                <wp:extent cx="635" cy="495300"/>
                <wp:effectExtent l="37465" t="0" r="38100" b="0"/>
                <wp:wrapNone/>
                <wp:docPr id="38" name="直线 12"/>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margin-left:437.8pt;margin-top:24.95pt;height:39pt;width:0.05pt;z-index:251696128;mso-width-relative:page;mso-height-relative:page;" filled="f" stroked="t" coordsize="21600,21600" o:gfxdata="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rtJID2gAAAAoBAAAPAAAAAAAA&#10;AAEAIAAAACIAAABkcnMvZG93bnJldi54bWxQSwECFAAUAAAACACHTuJALGJhytcBAACUAwAADgAA&#10;AAAAAAABACAAAAApAQAAZHJzL2Uyb0RvYy54bWxQSwUGAAAAAAYABgBZAQAAcgUAAAAA&#10;">
                <v:fill on="f" focussize="0,0"/>
                <v:stroke color="#000000" joinstyle="round" endarrow="block"/>
                <v:imagedata o:title=""/>
                <o:lock v:ext="edit" aspectratio="f"/>
              </v:line>
            </w:pict>
          </mc:Fallback>
        </mc:AlternateContent>
      </w:r>
      <w:r>
        <w:rPr>
          <w:rFonts w:ascii="宋体" w:hAnsi="Courier New" w:eastAsia="宋体" w:cs="黑体"/>
          <w:kern w:val="2"/>
          <w:sz w:val="28"/>
          <w:szCs w:val="20"/>
          <w:lang w:val="en-US" w:eastAsia="zh-CN" w:bidi="ar-SA"/>
        </w:rPr>
        <mc:AlternateContent>
          <mc:Choice Requires="wps">
            <w:drawing>
              <wp:anchor distT="0" distB="0" distL="114300" distR="114300" simplePos="0" relativeHeight="251698176" behindDoc="0" locked="0" layoutInCell="1" allowOverlap="1">
                <wp:simplePos x="0" y="0"/>
                <wp:positionH relativeFrom="column">
                  <wp:posOffset>-312420</wp:posOffset>
                </wp:positionH>
                <wp:positionV relativeFrom="paragraph">
                  <wp:posOffset>299085</wp:posOffset>
                </wp:positionV>
                <wp:extent cx="5899150" cy="2540"/>
                <wp:effectExtent l="0" t="38100" r="6350" b="54610"/>
                <wp:wrapNone/>
                <wp:docPr id="40" name="自选图形 10"/>
                <wp:cNvGraphicFramePr/>
                <a:graphic xmlns:a="http://schemas.openxmlformats.org/drawingml/2006/main">
                  <a:graphicData uri="http://schemas.microsoft.com/office/word/2010/wordprocessingShape">
                    <wps:wsp>
                      <wps:cNvCnPr/>
                      <wps:spPr>
                        <a:xfrm>
                          <a:off x="0" y="0"/>
                          <a:ext cx="5899150" cy="2540"/>
                        </a:xfrm>
                        <a:prstGeom prst="straightConnector1">
                          <a:avLst/>
                        </a:prstGeom>
                        <a:ln w="9525" cap="flat" cmpd="sng">
                          <a:solidFill>
                            <a:srgbClr val="000000"/>
                          </a:solidFill>
                          <a:prstDash val="solid"/>
                          <a:headEnd type="triangle" w="med" len="med"/>
                          <a:tailEnd type="triangle" w="med" len="med"/>
                        </a:ln>
                      </wps:spPr>
                      <wps:bodyPr upright="0"/>
                    </wps:wsp>
                  </a:graphicData>
                </a:graphic>
              </wp:anchor>
            </w:drawing>
          </mc:Choice>
          <mc:Fallback>
            <w:pict>
              <v:shape id="自选图形 10" o:spid="_x0000_s1026" o:spt="32" type="#_x0000_t32" style="position:absolute;left:0pt;margin-left:-24.6pt;margin-top:23.55pt;height:0.2pt;width:464.5pt;z-index:251698176;mso-width-relative:page;mso-height-relative:page;" filled="f" stroked="t" coordsize="21600,21600" o:gfxdata="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r2sTF2QAA&#10;AAkBAAAPAAAAAAAAAAEAIAAAACIAAABkcnMvZG93bnJldi54bWxQSwECFAAUAAAACACHTuJA2Aoi&#10;AOQBAACuAwAADgAAAAAAAAABACAAAAAoAQAAZHJzL2Uyb0RvYy54bWxQSwUGAAAAAAYABgBZAQAA&#10;fgUAAAAA&#10;">
                <v:fill on="f" focussize="0,0"/>
                <v:stroke color="#000000" joinstyle="round" startarrow="block" endarrow="block"/>
                <v:imagedata o:title=""/>
                <o:lock v:ext="edit" aspectratio="f"/>
              </v:shap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-285750</wp:posOffset>
                </wp:positionH>
                <wp:positionV relativeFrom="paragraph">
                  <wp:posOffset>287655</wp:posOffset>
                </wp:positionV>
                <wp:extent cx="635" cy="495300"/>
                <wp:effectExtent l="37465" t="0" r="38100" b="0"/>
                <wp:wrapNone/>
                <wp:docPr id="22" name="直线 16"/>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 o:spid="_x0000_s1026" o:spt="20" style="position:absolute;left:0pt;margin-left:-22.5pt;margin-top:22.65pt;height:39pt;width:0.05pt;z-index:251679744;mso-width-relative:page;mso-height-relative:page;" filled="f" stroked="t" coordsize="21600,21600" o:gfxdata="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uZKhM3AAAAAoBAAAPAAAA&#10;AAAAAAEAIAAAACIAAABkcnMvZG93bnJldi54bWxQSwECFAAUAAAACACHTuJA8JQ+YdgBAACUAwAA&#10;DgAAAAAAAAABACAAAAArAQAAZHJzL2Uyb0RvYy54bWxQSwUGAAAAAAYABgBZAQAAdQUAAAAA&#10;">
                <v:fill on="f" focussize="0,0"/>
                <v:stroke color="#000000" joinstyle="round" endarrow="block"/>
                <v:imagedata o:title=""/>
                <o:lock v:ext="edit" aspectratio="f"/>
              </v:line>
            </w:pict>
          </mc:Fallback>
        </mc:AlternateContent>
      </w:r>
      <w:r>
        <w:rPr>
          <w:rFonts w:hint="eastAsia" w:ascii="仿宋_GB2312" w:hAnsi="仿宋" w:eastAsia="仿宋_GB2312"/>
          <w:sz w:val="28"/>
          <w:szCs w:val="28"/>
        </w:rPr>
        <w:t xml:space="preserve">  </w:t>
      </w: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74624" behindDoc="1" locked="0" layoutInCell="1" allowOverlap="1">
                <wp:simplePos x="0" y="0"/>
                <wp:positionH relativeFrom="column">
                  <wp:posOffset>-487680</wp:posOffset>
                </wp:positionH>
                <wp:positionV relativeFrom="paragraph">
                  <wp:posOffset>93345</wp:posOffset>
                </wp:positionV>
                <wp:extent cx="457200" cy="1391920"/>
                <wp:effectExtent l="4445" t="4445" r="14605" b="13335"/>
                <wp:wrapNone/>
                <wp:docPr id="17" name="矩形 19"/>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sz w:val="24"/>
                                <w:szCs w:val="24"/>
                                <w:lang w:eastAsia="zh-CN"/>
                              </w:rPr>
                            </w:pPr>
                          </w:p>
                          <w:p>
                            <w:pPr>
                              <w:jc w:val="center"/>
                              <w:rPr>
                                <w:rFonts w:hint="eastAsia" w:ascii="仿宋_GB2312" w:eastAsia="仿宋_GB2312"/>
                                <w:sz w:val="24"/>
                                <w:szCs w:val="24"/>
                                <w:lang w:eastAsia="zh-CN"/>
                              </w:rPr>
                            </w:pPr>
                            <w:r>
                              <w:rPr>
                                <w:rFonts w:hint="eastAsia" w:ascii="仿宋_GB2312"/>
                                <w:sz w:val="24"/>
                                <w:szCs w:val="24"/>
                                <w:lang w:eastAsia="zh-CN"/>
                              </w:rPr>
                              <w:t>总经理</w:t>
                            </w:r>
                          </w:p>
                        </w:txbxContent>
                      </wps:txbx>
                      <wps:bodyPr wrap="square" upright="1"/>
                    </wps:wsp>
                  </a:graphicData>
                </a:graphic>
              </wp:anchor>
            </w:drawing>
          </mc:Choice>
          <mc:Fallback>
            <w:pict>
              <v:rect id="矩形 19" o:spid="_x0000_s1026" o:spt="1" style="position:absolute;left:0pt;flip:x;margin-left:-38.4pt;margin-top:7.35pt;height:109.6pt;width:36pt;z-index:-251641856;mso-width-relative:page;mso-height-relative:page;" fillcolor="#FFFFFF" filled="t" stroked="t" coordsize="21600,21600" o:gfxdata="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Pl9W3XAAAACQEAAA8AAAAAAAAAAQAgAAAAIgAAAGRycy9kb3ducmV2Lnht&#10;bFBLAQIUABQAAAAIAIdO4kAqux/s+gEAAPUDAAAOAAAAAAAAAAEAIAAAACYBAABkcnMvZTJvRG9j&#10;LnhtbFBLBQYAAAAABgAGAFkBAACSBQAAAAA=&#10;">
                <v:fill on="t" focussize="0,0"/>
                <v:stroke color="#000000" joinstyle="miter"/>
                <v:imagedata o:title=""/>
                <o:lock v:ext="edit" aspectratio="f"/>
                <v:textbox>
                  <w:txbxContent>
                    <w:p>
                      <w:pPr>
                        <w:jc w:val="center"/>
                        <w:rPr>
                          <w:rFonts w:hint="eastAsia" w:ascii="仿宋_GB2312"/>
                          <w:sz w:val="24"/>
                          <w:szCs w:val="24"/>
                          <w:lang w:eastAsia="zh-CN"/>
                        </w:rPr>
                      </w:pPr>
                    </w:p>
                    <w:p>
                      <w:pPr>
                        <w:jc w:val="center"/>
                        <w:rPr>
                          <w:rFonts w:hint="eastAsia" w:ascii="仿宋_GB2312" w:eastAsia="仿宋_GB2312"/>
                          <w:sz w:val="24"/>
                          <w:szCs w:val="24"/>
                          <w:lang w:eastAsia="zh-CN"/>
                        </w:rPr>
                      </w:pPr>
                      <w:r>
                        <w:rPr>
                          <w:rFonts w:hint="eastAsia" w:ascii="仿宋_GB2312"/>
                          <w:sz w:val="24"/>
                          <w:szCs w:val="24"/>
                          <w:lang w:eastAsia="zh-CN"/>
                        </w:rPr>
                        <w:t>总经理</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58240" behindDoc="1" locked="0" layoutInCell="1" allowOverlap="1">
                <wp:simplePos x="0" y="0"/>
                <wp:positionH relativeFrom="column">
                  <wp:posOffset>273685</wp:posOffset>
                </wp:positionH>
                <wp:positionV relativeFrom="paragraph">
                  <wp:posOffset>123825</wp:posOffset>
                </wp:positionV>
                <wp:extent cx="457200" cy="1391920"/>
                <wp:effectExtent l="4445" t="4445" r="14605" b="13335"/>
                <wp:wrapNone/>
                <wp:docPr id="1" name="矩形 27"/>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sz w:val="24"/>
                                <w:szCs w:val="24"/>
                              </w:rPr>
                            </w:pPr>
                            <w:r>
                              <w:rPr>
                                <w:rFonts w:hint="eastAsia" w:ascii="仿宋_GB2312"/>
                                <w:sz w:val="24"/>
                                <w:szCs w:val="24"/>
                                <w:lang w:eastAsia="zh-CN"/>
                              </w:rPr>
                              <w:t>生产科</w:t>
                            </w:r>
                            <w:r>
                              <w:rPr>
                                <w:rFonts w:hint="eastAsia" w:ascii="仿宋_GB2312"/>
                                <w:sz w:val="24"/>
                                <w:szCs w:val="24"/>
                              </w:rPr>
                              <w:t>科长</w:t>
                            </w:r>
                          </w:p>
                        </w:txbxContent>
                      </wps:txbx>
                      <wps:bodyPr wrap="square" upright="1"/>
                    </wps:wsp>
                  </a:graphicData>
                </a:graphic>
              </wp:anchor>
            </w:drawing>
          </mc:Choice>
          <mc:Fallback>
            <w:pict>
              <v:rect id="矩形 27" o:spid="_x0000_s1026" o:spt="1" style="position:absolute;left:0pt;flip:x;margin-left:21.55pt;margin-top:9.75pt;height:109.6pt;width:36pt;z-index:-251658240;mso-width-relative:page;mso-height-relative:page;" fillcolor="#FFFFFF" filled="t" stroked="t" coordsize="21600,21600" o:gfxdata="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BHj29cAAAAJAQAADwAAAAAAAAABACAAAAAiAAAAZHJzL2Rvd25yZXYueG1s&#10;UEsBAhQAFAAAAAgAh07iQM+jDcL5AQAA9AMAAA4AAAAAAAAAAQAgAAAAJgEAAGRycy9lMm9Eb2Mu&#10;eG1sUEsFBgAAAAAGAAYAWQEAAJEFAAAAAA==&#10;">
                <v:fill on="t" focussize="0,0"/>
                <v:stroke color="#000000" joinstyle="miter"/>
                <v:imagedata o:title=""/>
                <o:lock v:ext="edit" aspectratio="f"/>
                <v:textbox>
                  <w:txbxContent>
                    <w:p>
                      <w:pPr>
                        <w:jc w:val="center"/>
                        <w:rPr>
                          <w:rFonts w:hint="eastAsia" w:ascii="仿宋_GB2312"/>
                          <w:sz w:val="24"/>
                          <w:szCs w:val="24"/>
                        </w:rPr>
                      </w:pPr>
                      <w:r>
                        <w:rPr>
                          <w:rFonts w:hint="eastAsia" w:ascii="仿宋_GB2312"/>
                          <w:sz w:val="24"/>
                          <w:szCs w:val="24"/>
                          <w:lang w:eastAsia="zh-CN"/>
                        </w:rPr>
                        <w:t>生产科</w:t>
                      </w:r>
                      <w:r>
                        <w:rPr>
                          <w:rFonts w:hint="eastAsia" w:ascii="仿宋_GB2312"/>
                          <w:sz w:val="24"/>
                          <w:szCs w:val="24"/>
                        </w:rPr>
                        <w:t>科长</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1312" behindDoc="1" locked="0" layoutInCell="1" allowOverlap="1">
                <wp:simplePos x="0" y="0"/>
                <wp:positionH relativeFrom="column">
                  <wp:posOffset>1002030</wp:posOffset>
                </wp:positionH>
                <wp:positionV relativeFrom="paragraph">
                  <wp:posOffset>111760</wp:posOffset>
                </wp:positionV>
                <wp:extent cx="457200" cy="1391920"/>
                <wp:effectExtent l="4445" t="4445" r="14605" b="13335"/>
                <wp:wrapNone/>
                <wp:docPr id="4" name="矩形 26"/>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保卫科科长</w:t>
                            </w:r>
                          </w:p>
                        </w:txbxContent>
                      </wps:txbx>
                      <wps:bodyPr wrap="square" upright="1"/>
                    </wps:wsp>
                  </a:graphicData>
                </a:graphic>
              </wp:anchor>
            </w:drawing>
          </mc:Choice>
          <mc:Fallback>
            <w:pict>
              <v:rect id="矩形 26" o:spid="_x0000_s1026" o:spt="1" style="position:absolute;left:0pt;flip:x;margin-left:78.9pt;margin-top:8.8pt;height:109.6pt;width:36pt;z-index:-251655168;mso-width-relative:page;mso-height-relative:page;" fillcolor="#FFFFFF" filled="t" stroked="t" coordsize="21600,21600" o:gfxdata="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E7QJtgAAAAKAQAADwAAAAAAAAABACAAAAAiAAAAZHJzL2Rvd25yZXYu&#10;eG1sUEsBAhQAFAAAAAgAh07iQNst4L77AQAA9AMAAA4AAAAAAAAAAQAgAAAAJwEAAGRycy9lMm9E&#10;b2MueG1sUEsFBgAAAAAGAAYAWQEAAJQFA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保卫科科长</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2336" behindDoc="1" locked="0" layoutInCell="1" allowOverlap="1">
                <wp:simplePos x="0" y="0"/>
                <wp:positionH relativeFrom="column">
                  <wp:posOffset>1787525</wp:posOffset>
                </wp:positionH>
                <wp:positionV relativeFrom="paragraph">
                  <wp:posOffset>120015</wp:posOffset>
                </wp:positionV>
                <wp:extent cx="457200" cy="1391920"/>
                <wp:effectExtent l="4445" t="4445" r="14605" b="13335"/>
                <wp:wrapNone/>
                <wp:docPr id="5" name="矩形 25"/>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lang w:eastAsia="zh-CN"/>
                              </w:rPr>
                            </w:pPr>
                            <w:r>
                              <w:rPr>
                                <w:rFonts w:hint="eastAsia" w:ascii="仿宋_GB2312"/>
                                <w:sz w:val="24"/>
                                <w:szCs w:val="24"/>
                                <w:lang w:eastAsia="zh-CN"/>
                              </w:rPr>
                              <w:t>党群办主任</w:t>
                            </w:r>
                          </w:p>
                        </w:txbxContent>
                      </wps:txbx>
                      <wps:bodyPr wrap="square" upright="1"/>
                    </wps:wsp>
                  </a:graphicData>
                </a:graphic>
              </wp:anchor>
            </w:drawing>
          </mc:Choice>
          <mc:Fallback>
            <w:pict>
              <v:rect id="矩形 25" o:spid="_x0000_s1026" o:spt="1" style="position:absolute;left:0pt;flip:x;margin-left:140.75pt;margin-top:9.45pt;height:109.6pt;width:36pt;z-index:-251654144;mso-width-relative:page;mso-height-relative:page;" fillcolor="#FFFFFF" filled="t" stroked="t" coordsize="21600,21600" o:gfxdata="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kN2WtcAAAAKAQAADwAAAAAAAAABACAAAAAiAAAAZHJzL2Rvd25yZXYueG1s&#10;UEsBAhQAFAAAAAgAh07iQMIHSyn5AQAA9AMAAA4AAAAAAAAAAQAgAAAAJgEAAGRycy9lMm9Eb2Mu&#10;eG1sUEsFBgAAAAAGAAYAWQEAAJEFAAAAAA==&#10;">
                <v:fill on="t" focussize="0,0"/>
                <v:stroke color="#000000" joinstyle="miter"/>
                <v:imagedata o:title=""/>
                <o:lock v:ext="edit" aspectratio="f"/>
                <v:textbox>
                  <w:txbxContent>
                    <w:p>
                      <w:pPr>
                        <w:jc w:val="center"/>
                        <w:rPr>
                          <w:rFonts w:hint="eastAsia" w:ascii="仿宋_GB2312" w:eastAsia="宋体"/>
                          <w:lang w:eastAsia="zh-CN"/>
                        </w:rPr>
                      </w:pPr>
                      <w:r>
                        <w:rPr>
                          <w:rFonts w:hint="eastAsia" w:ascii="仿宋_GB2312"/>
                          <w:sz w:val="24"/>
                          <w:szCs w:val="24"/>
                          <w:lang w:eastAsia="zh-CN"/>
                        </w:rPr>
                        <w:t>党群办主任</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5408" behindDoc="1" locked="0" layoutInCell="1" allowOverlap="1">
                <wp:simplePos x="0" y="0"/>
                <wp:positionH relativeFrom="column">
                  <wp:posOffset>2509520</wp:posOffset>
                </wp:positionH>
                <wp:positionV relativeFrom="paragraph">
                  <wp:posOffset>103505</wp:posOffset>
                </wp:positionV>
                <wp:extent cx="457200" cy="1391920"/>
                <wp:effectExtent l="4445" t="4445" r="14605" b="13335"/>
                <wp:wrapNone/>
                <wp:docPr id="8" name="矩形 24"/>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设备科科长</w:t>
                            </w:r>
                          </w:p>
                        </w:txbxContent>
                      </wps:txbx>
                      <wps:bodyPr wrap="square" upright="1"/>
                    </wps:wsp>
                  </a:graphicData>
                </a:graphic>
              </wp:anchor>
            </w:drawing>
          </mc:Choice>
          <mc:Fallback>
            <w:pict>
              <v:rect id="矩形 24" o:spid="_x0000_s1026" o:spt="1" style="position:absolute;left:0pt;flip:x;margin-left:197.6pt;margin-top:8.15pt;height:109.6pt;width:36pt;z-index:-251651072;mso-width-relative:page;mso-height-relative:page;" fillcolor="#FFFFFF" filled="t" stroked="t" coordsize="21600,21600" o:gfxdata="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jQye82AAAAAoBAAAPAAAAAAAAAAEAIAAAACIAAABkcnMvZG93bnJldi54&#10;bWxQSwECFAAUAAAACACHTuJApxxcgvoBAAD0AwAADgAAAAAAAAABACAAAAAnAQAAZHJzL2Uyb0Rv&#10;Yy54bWxQSwUGAAAAAAYABgBZAQAAkwU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设备科科长</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6432" behindDoc="1" locked="0" layoutInCell="1" allowOverlap="1">
                <wp:simplePos x="0" y="0"/>
                <wp:positionH relativeFrom="column">
                  <wp:posOffset>3212465</wp:posOffset>
                </wp:positionH>
                <wp:positionV relativeFrom="paragraph">
                  <wp:posOffset>103505</wp:posOffset>
                </wp:positionV>
                <wp:extent cx="457200" cy="1391920"/>
                <wp:effectExtent l="4445" t="4445" r="14605" b="13335"/>
                <wp:wrapNone/>
                <wp:docPr id="9" name="矩形 23"/>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eastAsia="zh-CN"/>
                              </w:rPr>
                            </w:pPr>
                            <w:r>
                              <w:rPr>
                                <w:rFonts w:hint="eastAsia" w:ascii="仿宋_GB2312"/>
                                <w:sz w:val="24"/>
                                <w:szCs w:val="24"/>
                                <w:lang w:eastAsia="zh-CN"/>
                              </w:rPr>
                              <w:t>总经办主任</w:t>
                            </w:r>
                          </w:p>
                        </w:txbxContent>
                      </wps:txbx>
                      <wps:bodyPr wrap="square" upright="1"/>
                    </wps:wsp>
                  </a:graphicData>
                </a:graphic>
              </wp:anchor>
            </w:drawing>
          </mc:Choice>
          <mc:Fallback>
            <w:pict>
              <v:rect id="矩形 23" o:spid="_x0000_s1026" o:spt="1" style="position:absolute;left:0pt;flip:x;margin-left:252.95pt;margin-top:8.15pt;height:109.6pt;width:36pt;z-index:-251650048;mso-width-relative:page;mso-height-relative:page;" fillcolor="#FFFFFF" filled="t" stroked="t" coordsize="21600,21600" o:gfxdata="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C+C7vYAAAACgEAAA8AAAAAAAAAAQAgAAAAIgAAAGRycy9kb3ducmV2Lnht&#10;bFBLAQIUABQAAAAIAIdO4kCU7fHP+QEAAPQDAAAOAAAAAAAAAAEAIAAAACcBAABkcnMvZTJvRG9j&#10;LnhtbFBLBQYAAAAABgAGAFkBAACSBQAAAAA=&#10;">
                <v:fill on="t" focussize="0,0"/>
                <v:stroke color="#000000" joinstyle="miter"/>
                <v:imagedata o:title=""/>
                <o:lock v:ext="edit" aspectratio="f"/>
                <v:textbox>
                  <w:txbxContent>
                    <w:p>
                      <w:pPr>
                        <w:jc w:val="center"/>
                        <w:rPr>
                          <w:rFonts w:hint="eastAsia" w:ascii="仿宋_GB2312" w:eastAsia="仿宋_GB2312"/>
                          <w:sz w:val="24"/>
                          <w:szCs w:val="24"/>
                          <w:lang w:eastAsia="zh-CN"/>
                        </w:rPr>
                      </w:pPr>
                      <w:r>
                        <w:rPr>
                          <w:rFonts w:hint="eastAsia" w:ascii="仿宋_GB2312"/>
                          <w:sz w:val="24"/>
                          <w:szCs w:val="24"/>
                          <w:lang w:eastAsia="zh-CN"/>
                        </w:rPr>
                        <w:t>总经办主任</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9504" behindDoc="1" locked="0" layoutInCell="1" allowOverlap="1">
                <wp:simplePos x="0" y="0"/>
                <wp:positionH relativeFrom="column">
                  <wp:posOffset>3876040</wp:posOffset>
                </wp:positionH>
                <wp:positionV relativeFrom="paragraph">
                  <wp:posOffset>111125</wp:posOffset>
                </wp:positionV>
                <wp:extent cx="457200" cy="1391920"/>
                <wp:effectExtent l="4445" t="4445" r="14605" b="13335"/>
                <wp:wrapNone/>
                <wp:docPr id="12" name="矩形 22"/>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总经办主任</w:t>
                            </w:r>
                          </w:p>
                        </w:txbxContent>
                      </wps:txbx>
                      <wps:bodyPr wrap="square" upright="1"/>
                    </wps:wsp>
                  </a:graphicData>
                </a:graphic>
              </wp:anchor>
            </w:drawing>
          </mc:Choice>
          <mc:Fallback>
            <w:pict>
              <v:rect id="矩形 22" o:spid="_x0000_s1026" o:spt="1" style="position:absolute;left:0pt;flip:x;margin-left:305.2pt;margin-top:8.75pt;height:109.6pt;width:36pt;z-index:-251646976;mso-width-relative:page;mso-height-relative:page;" fillcolor="#FFFFFF" filled="t" stroked="t" coordsize="21600,21600" o:gfxdata="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vQrR2AAAAAoBAAAPAAAAAAAAAAEAIAAAACIAAABkcnMvZG93bnJldi54&#10;bWxQSwECFAAUAAAACACHTuJAS76BUvoBAAD1AwAADgAAAAAAAAABACAAAAAnAQAAZHJzL2Uyb0Rv&#10;Yy54bWxQSwUGAAAAAAYABgBZAQAAkwU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总经办主任</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70528" behindDoc="1" locked="0" layoutInCell="1" allowOverlap="1">
                <wp:simplePos x="0" y="0"/>
                <wp:positionH relativeFrom="column">
                  <wp:posOffset>4584700</wp:posOffset>
                </wp:positionH>
                <wp:positionV relativeFrom="paragraph">
                  <wp:posOffset>110490</wp:posOffset>
                </wp:positionV>
                <wp:extent cx="457200" cy="1391920"/>
                <wp:effectExtent l="4445" t="4445" r="14605" b="13335"/>
                <wp:wrapNone/>
                <wp:docPr id="13" name="矩形 21"/>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技术科科长</w:t>
                            </w:r>
                          </w:p>
                        </w:txbxContent>
                      </wps:txbx>
                      <wps:bodyPr wrap="square" upright="1"/>
                    </wps:wsp>
                  </a:graphicData>
                </a:graphic>
              </wp:anchor>
            </w:drawing>
          </mc:Choice>
          <mc:Fallback>
            <w:pict>
              <v:rect id="矩形 21" o:spid="_x0000_s1026" o:spt="1" style="position:absolute;left:0pt;flip:x;margin-left:361pt;margin-top:8.7pt;height:109.6pt;width:36pt;z-index:-251645952;mso-width-relative:page;mso-height-relative:page;" fillcolor="#FFFFFF" filled="t" stroked="t" coordsize="21600,21600" o:gfxdata="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1aEu52AAAAAoBAAAPAAAAAAAAAAEAIAAAACIAAABkcnMvZG93bnJldi54&#10;bWxQSwECFAAUAAAACACHTuJAUpQqxfoBAAD1AwAADgAAAAAAAAABACAAAAAnAQAAZHJzL2Uyb0Rv&#10;Yy54bWxQSwUGAAAAAAYABgBZAQAAkwU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技术科科长</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73600" behindDoc="1" locked="0" layoutInCell="1" allowOverlap="1">
                <wp:simplePos x="0" y="0"/>
                <wp:positionH relativeFrom="column">
                  <wp:posOffset>5325110</wp:posOffset>
                </wp:positionH>
                <wp:positionV relativeFrom="paragraph">
                  <wp:posOffset>128905</wp:posOffset>
                </wp:positionV>
                <wp:extent cx="457200" cy="1391920"/>
                <wp:effectExtent l="4445" t="4445" r="14605" b="13335"/>
                <wp:wrapNone/>
                <wp:docPr id="16" name="矩形 20"/>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安环科科长</w:t>
                            </w:r>
                          </w:p>
                        </w:txbxContent>
                      </wps:txbx>
                      <wps:bodyPr wrap="square" upright="1"/>
                    </wps:wsp>
                  </a:graphicData>
                </a:graphic>
              </wp:anchor>
            </w:drawing>
          </mc:Choice>
          <mc:Fallback>
            <w:pict>
              <v:rect id="矩形 20" o:spid="_x0000_s1026" o:spt="1" style="position:absolute;left:0pt;flip:x;margin-left:419.3pt;margin-top:10.15pt;height:109.6pt;width:36pt;z-index:-251642880;mso-width-relative:page;mso-height-relative:page;" fillcolor="#FFFFFF" filled="t" stroked="t" coordsize="21600,21600" o:gfxdata="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ngYvYAAAACgEAAA8AAAAAAAAAAQAgAAAAIgAAAGRycy9kb3ducmV2Lnht&#10;bFBLAQIUABQAAAAIAIdO4kBGGse5+QEAAPUDAAAOAAAAAAAAAAEAIAAAACcBAABkcnMvZTJvRG9j&#10;LnhtbFBLBQYAAAAABgAGAFkBAACSBQ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安环科科长</w:t>
                      </w:r>
                    </w:p>
                  </w:txbxContent>
                </v:textbox>
              </v:rect>
            </w:pict>
          </mc:Fallback>
        </mc:AlternateContent>
      </w: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-269875</wp:posOffset>
                </wp:positionH>
                <wp:positionV relativeFrom="paragraph">
                  <wp:posOffset>110490</wp:posOffset>
                </wp:positionV>
                <wp:extent cx="2540" cy="391795"/>
                <wp:effectExtent l="36195" t="0" r="37465" b="8255"/>
                <wp:wrapNone/>
                <wp:docPr id="39" name="任意多边形 28"/>
                <wp:cNvGraphicFramePr/>
                <a:graphic xmlns:a="http://schemas.openxmlformats.org/drawingml/2006/main">
                  <a:graphicData uri="http://schemas.microsoft.com/office/word/2010/wordprocessingShape">
                    <wps:wsp>
                      <wps:cNvSpPr/>
                      <wps:spPr>
                        <a:xfrm>
                          <a:off x="0" y="0"/>
                          <a:ext cx="2540" cy="391795"/>
                        </a:xfrm>
                        <a:custGeom>
                          <a:avLst/>
                          <a:gdLst/>
                          <a:ahLst/>
                          <a:cxnLst/>
                          <a:pathLst>
                            <a:path w="4" h="617">
                              <a:moveTo>
                                <a:pt x="0" y="0"/>
                              </a:moveTo>
                              <a:lnTo>
                                <a:pt x="4" y="617"/>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28" o:spid="_x0000_s1026" o:spt="100" style="position:absolute;left:0pt;margin-left:-21.25pt;margin-top:8.7pt;height:30.85pt;width:0.2pt;z-index:251697152;mso-width-relative:page;mso-height-relative:page;" filled="f" stroked="t" coordsize="4,617" o:gfxdata="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MaOk9kAAAAJAQAADwAAAAAAAAABACAAAAAiAAAAZHJzL2Rvd25yZXYueG1sUEsBAhQA&#10;FAAAAAgAh07iQHUAMRoqAgAATgQAAA4AAAAAAAAAAQAgAAAAKAEAAGRycy9lMm9Eb2MueG1sUEsF&#10;BgAAAAAGAAYAWQEAAMQFAAAAAA==&#10;" path="m0,0l4,617e">
                <v:fill on="f" focussize="0,0"/>
                <v:stroke color="#000000" joinstyle="round" endarrow="block"/>
                <v:imagedata o:title=""/>
                <o:lock v:ext="edit" aspectratio="f"/>
              </v:shap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482600</wp:posOffset>
                </wp:positionH>
                <wp:positionV relativeFrom="paragraph">
                  <wp:posOffset>132080</wp:posOffset>
                </wp:positionV>
                <wp:extent cx="2540" cy="391795"/>
                <wp:effectExtent l="36195" t="0" r="37465" b="8255"/>
                <wp:wrapNone/>
                <wp:docPr id="23" name="任意多边形 38"/>
                <wp:cNvGraphicFramePr/>
                <a:graphic xmlns:a="http://schemas.openxmlformats.org/drawingml/2006/main">
                  <a:graphicData uri="http://schemas.microsoft.com/office/word/2010/wordprocessingShape">
                    <wps:wsp>
                      <wps:cNvSpPr/>
                      <wps:spPr>
                        <a:xfrm>
                          <a:off x="0" y="0"/>
                          <a:ext cx="2540" cy="391795"/>
                        </a:xfrm>
                        <a:custGeom>
                          <a:avLst/>
                          <a:gdLst/>
                          <a:ahLst/>
                          <a:cxnLst/>
                          <a:pathLst>
                            <a:path w="4" h="617">
                              <a:moveTo>
                                <a:pt x="0" y="0"/>
                              </a:moveTo>
                              <a:lnTo>
                                <a:pt x="4" y="617"/>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38" o:spid="_x0000_s1026" o:spt="100" style="position:absolute;left:0pt;margin-left:38pt;margin-top:10.4pt;height:30.85pt;width:0.2pt;z-index:251680768;mso-width-relative:page;mso-height-relative:page;" filled="f" stroked="t" coordsize="4,617" o:gfxdata="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6bcwPXAAAABwEAAA8AAAAAAAAAAQAgAAAAIgAAAGRycy9kb3ducmV2LnhtbFBLAQIUABQA&#10;AAAIAIdO4kBMUeaZKgIAAE4EAAAOAAAAAAAAAAEAIAAAACYBAABkcnMvZTJvRG9jLnhtbFBLBQYA&#10;AAAABgAGAFkBAADCBQAAAAA=&#10;" path="m0,0l4,617e">
                <v:fill on="f" focussize="0,0"/>
                <v:stroke color="#000000" joinstyle="round" endarrow="block"/>
                <v:imagedata o:title=""/>
                <o:lock v:ext="edit" aspectratio="f"/>
              </v:shap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1228725</wp:posOffset>
                </wp:positionH>
                <wp:positionV relativeFrom="paragraph">
                  <wp:posOffset>120650</wp:posOffset>
                </wp:positionV>
                <wp:extent cx="2540" cy="391795"/>
                <wp:effectExtent l="36195" t="0" r="37465" b="8255"/>
                <wp:wrapNone/>
                <wp:docPr id="25" name="任意多边形 37"/>
                <wp:cNvGraphicFramePr/>
                <a:graphic xmlns:a="http://schemas.openxmlformats.org/drawingml/2006/main">
                  <a:graphicData uri="http://schemas.microsoft.com/office/word/2010/wordprocessingShape">
                    <wps:wsp>
                      <wps:cNvSpPr/>
                      <wps:spPr>
                        <a:xfrm>
                          <a:off x="0" y="0"/>
                          <a:ext cx="2540" cy="391795"/>
                        </a:xfrm>
                        <a:custGeom>
                          <a:avLst/>
                          <a:gdLst/>
                          <a:ahLst/>
                          <a:cxnLst/>
                          <a:pathLst>
                            <a:path w="4" h="617">
                              <a:moveTo>
                                <a:pt x="0" y="0"/>
                              </a:moveTo>
                              <a:lnTo>
                                <a:pt x="4" y="617"/>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37" o:spid="_x0000_s1026" o:spt="100" style="position:absolute;left:0pt;margin-left:96.75pt;margin-top:9.5pt;height:30.85pt;width:0.2pt;z-index:251682816;mso-width-relative:page;mso-height-relative:page;" filled="f" stroked="t" coordsize="4,617" o:gfxdata="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kBaBjYAAAACQEAAA8AAAAAAAAAAQAgAAAAIgAAAGRycy9kb3ducmV2LnhtbFBLAQIUABQA&#10;AAAIAIdO4kAb+WO1KQIAAE4EAAAOAAAAAAAAAAEAIAAAACcBAABkcnMvZTJvRG9jLnhtbFBLBQYA&#10;AAAABgAGAFkBAADCBQAAAAA=&#10;" path="m0,0l4,617e">
                <v:fill on="f" focussize="0,0"/>
                <v:stroke color="#000000" joinstyle="round" endarrow="block"/>
                <v:imagedata o:title=""/>
                <o:lock v:ext="edit" aspectratio="f"/>
              </v:shap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2014855</wp:posOffset>
                </wp:positionH>
                <wp:positionV relativeFrom="paragraph">
                  <wp:posOffset>137795</wp:posOffset>
                </wp:positionV>
                <wp:extent cx="2540" cy="391795"/>
                <wp:effectExtent l="36195" t="0" r="37465" b="8255"/>
                <wp:wrapNone/>
                <wp:docPr id="27" name="任意多边形 36"/>
                <wp:cNvGraphicFramePr/>
                <a:graphic xmlns:a="http://schemas.openxmlformats.org/drawingml/2006/main">
                  <a:graphicData uri="http://schemas.microsoft.com/office/word/2010/wordprocessingShape">
                    <wps:wsp>
                      <wps:cNvSpPr/>
                      <wps:spPr>
                        <a:xfrm>
                          <a:off x="0" y="0"/>
                          <a:ext cx="2540" cy="391795"/>
                        </a:xfrm>
                        <a:custGeom>
                          <a:avLst/>
                          <a:gdLst/>
                          <a:ahLst/>
                          <a:cxnLst/>
                          <a:pathLst>
                            <a:path w="4" h="617">
                              <a:moveTo>
                                <a:pt x="0" y="0"/>
                              </a:moveTo>
                              <a:lnTo>
                                <a:pt x="4" y="617"/>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36" o:spid="_x0000_s1026" o:spt="100" style="position:absolute;left:0pt;margin-left:158.65pt;margin-top:10.85pt;height:30.85pt;width:0.2pt;z-index:251684864;mso-width-relative:page;mso-height-relative:page;" filled="f" stroked="t" coordsize="4,617" o:gfxdata="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xB/y2AAAAAkBAAAPAAAAAAAAAAEAIAAAACIAAABkcnMvZG93bnJldi54bWxQSwECFAAU&#10;AAAACACHTuJAFTpjtSoCAABOBAAADgAAAAAAAAABACAAAAAnAQAAZHJzL2Uyb0RvYy54bWxQSwUG&#10;AAAAAAYABgBZAQAAwwUAAAAA&#10;" path="m0,0l4,617e">
                <v:fill on="f" focussize="0,0"/>
                <v:stroke color="#000000" joinstyle="round" endarrow="block"/>
                <v:imagedata o:title=""/>
                <o:lock v:ext="edit" aspectratio="f"/>
              </v:shap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6912" behindDoc="0" locked="0" layoutInCell="1" allowOverlap="1">
                <wp:simplePos x="0" y="0"/>
                <wp:positionH relativeFrom="column">
                  <wp:posOffset>2766060</wp:posOffset>
                </wp:positionH>
                <wp:positionV relativeFrom="paragraph">
                  <wp:posOffset>126365</wp:posOffset>
                </wp:positionV>
                <wp:extent cx="2540" cy="391795"/>
                <wp:effectExtent l="36195" t="0" r="37465" b="8255"/>
                <wp:wrapNone/>
                <wp:docPr id="29" name="任意多边形 32"/>
                <wp:cNvGraphicFramePr/>
                <a:graphic xmlns:a="http://schemas.openxmlformats.org/drawingml/2006/main">
                  <a:graphicData uri="http://schemas.microsoft.com/office/word/2010/wordprocessingShape">
                    <wps:wsp>
                      <wps:cNvSpPr/>
                      <wps:spPr>
                        <a:xfrm>
                          <a:off x="0" y="0"/>
                          <a:ext cx="2540" cy="391795"/>
                        </a:xfrm>
                        <a:custGeom>
                          <a:avLst/>
                          <a:gdLst/>
                          <a:ahLst/>
                          <a:cxnLst/>
                          <a:pathLst>
                            <a:path w="4" h="617">
                              <a:moveTo>
                                <a:pt x="0" y="0"/>
                              </a:moveTo>
                              <a:lnTo>
                                <a:pt x="4" y="617"/>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32" o:spid="_x0000_s1026" o:spt="100" style="position:absolute;left:0pt;margin-left:217.8pt;margin-top:9.95pt;height:30.85pt;width:0.2pt;z-index:251686912;mso-width-relative:page;mso-height-relative:page;" filled="f" stroked="t" coordsize="4,617" o:gfxdata="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xxXuDaAAAACQEAAA8AAAAAAAAAAQAgAAAAIgAAAGRycy9kb3ducmV2LnhtbFBLAQIU&#10;ABQAAAAIAIdO4kD+CZzIKgIAAE4EAAAOAAAAAAAAAAEAIAAAACkBAABkcnMvZTJvRG9jLnhtbFBL&#10;BQYAAAAABgAGAFkBAADFBQAAAAA=&#10;" path="m0,0l4,617e">
                <v:fill on="f" focussize="0,0"/>
                <v:stroke color="#000000" joinstyle="round" endarrow="block"/>
                <v:imagedata o:title=""/>
                <o:lock v:ext="edit" aspectratio="f"/>
              </v:shap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3439160</wp:posOffset>
                </wp:positionH>
                <wp:positionV relativeFrom="paragraph">
                  <wp:posOffset>128270</wp:posOffset>
                </wp:positionV>
                <wp:extent cx="2540" cy="391795"/>
                <wp:effectExtent l="36195" t="0" r="37465" b="8255"/>
                <wp:wrapNone/>
                <wp:docPr id="31" name="任意多边形 35"/>
                <wp:cNvGraphicFramePr/>
                <a:graphic xmlns:a="http://schemas.openxmlformats.org/drawingml/2006/main">
                  <a:graphicData uri="http://schemas.microsoft.com/office/word/2010/wordprocessingShape">
                    <wps:wsp>
                      <wps:cNvSpPr/>
                      <wps:spPr>
                        <a:xfrm>
                          <a:off x="0" y="0"/>
                          <a:ext cx="2540" cy="391795"/>
                        </a:xfrm>
                        <a:custGeom>
                          <a:avLst/>
                          <a:gdLst/>
                          <a:ahLst/>
                          <a:cxnLst/>
                          <a:pathLst>
                            <a:path w="4" h="617">
                              <a:moveTo>
                                <a:pt x="0" y="0"/>
                              </a:moveTo>
                              <a:lnTo>
                                <a:pt x="4" y="617"/>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35" o:spid="_x0000_s1026" o:spt="100" style="position:absolute;left:0pt;margin-left:270.8pt;margin-top:10.1pt;height:30.85pt;width:0.2pt;z-index:251688960;mso-width-relative:page;mso-height-relative:page;" filled="f" stroked="t" coordsize="4,617" o:gfxdata="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1RQNoAAAAJAQAADwAAAAAAAAABACAAAAAiAAAAZHJzL2Rvd25yZXYueG1sUEsBAhQA&#10;FAAAAAgAh07iQEBplF0pAgAATgQAAA4AAAAAAAAAAQAgAAAAKQEAAGRycy9lMm9Eb2MueG1sUEsF&#10;BgAAAAAGAAYAWQEAAMQFAAAAAA==&#10;" path="m0,0l4,617e">
                <v:fill on="f" focussize="0,0"/>
                <v:stroke color="#000000" joinstyle="round" endarrow="block"/>
                <v:imagedata o:title=""/>
                <o:lock v:ext="edit" aspectratio="f"/>
              </v:shap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4119880</wp:posOffset>
                </wp:positionH>
                <wp:positionV relativeFrom="paragraph">
                  <wp:posOffset>125095</wp:posOffset>
                </wp:positionV>
                <wp:extent cx="2540" cy="391795"/>
                <wp:effectExtent l="36195" t="0" r="37465" b="8255"/>
                <wp:wrapNone/>
                <wp:docPr id="33" name="任意多边形 31"/>
                <wp:cNvGraphicFramePr/>
                <a:graphic xmlns:a="http://schemas.openxmlformats.org/drawingml/2006/main">
                  <a:graphicData uri="http://schemas.microsoft.com/office/word/2010/wordprocessingShape">
                    <wps:wsp>
                      <wps:cNvSpPr/>
                      <wps:spPr>
                        <a:xfrm>
                          <a:off x="0" y="0"/>
                          <a:ext cx="2540" cy="391795"/>
                        </a:xfrm>
                        <a:custGeom>
                          <a:avLst/>
                          <a:gdLst/>
                          <a:ahLst/>
                          <a:cxnLst/>
                          <a:pathLst>
                            <a:path w="4" h="617">
                              <a:moveTo>
                                <a:pt x="0" y="0"/>
                              </a:moveTo>
                              <a:lnTo>
                                <a:pt x="4" y="617"/>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31" o:spid="_x0000_s1026" o:spt="100" style="position:absolute;left:0pt;margin-left:324.4pt;margin-top:9.85pt;height:30.85pt;width:0.2pt;z-index:251691008;mso-width-relative:page;mso-height-relative:page;" filled="f" stroked="t" coordsize="4,617" o:gfxdata="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Mhxcv2QAAAAkBAAAPAAAAAAAAAAEAIAAAACIAAABkcnMvZG93bnJldi54bWxQSwECFAAU&#10;AAAACACHTuJADSWT2ykCAABOBAAADgAAAAAAAAABACAAAAAoAQAAZHJzL2Uyb0RvYy54bWxQSwUG&#10;AAAAAAYABgBZAQAAwwUAAAAA&#10;" path="m0,0l4,617e">
                <v:fill on="f" focussize="0,0"/>
                <v:stroke color="#000000" joinstyle="round" endarrow="block"/>
                <v:imagedata o:title=""/>
                <o:lock v:ext="edit" aspectratio="f"/>
              </v:shap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93056" behindDoc="0" locked="0" layoutInCell="1" allowOverlap="1">
                <wp:simplePos x="0" y="0"/>
                <wp:positionH relativeFrom="column">
                  <wp:posOffset>4810760</wp:posOffset>
                </wp:positionH>
                <wp:positionV relativeFrom="paragraph">
                  <wp:posOffset>134620</wp:posOffset>
                </wp:positionV>
                <wp:extent cx="2540" cy="391795"/>
                <wp:effectExtent l="36195" t="0" r="37465" b="8255"/>
                <wp:wrapNone/>
                <wp:docPr id="35" name="任意多边形 30"/>
                <wp:cNvGraphicFramePr/>
                <a:graphic xmlns:a="http://schemas.openxmlformats.org/drawingml/2006/main">
                  <a:graphicData uri="http://schemas.microsoft.com/office/word/2010/wordprocessingShape">
                    <wps:wsp>
                      <wps:cNvSpPr/>
                      <wps:spPr>
                        <a:xfrm>
                          <a:off x="0" y="0"/>
                          <a:ext cx="2540" cy="391795"/>
                        </a:xfrm>
                        <a:custGeom>
                          <a:avLst/>
                          <a:gdLst/>
                          <a:ahLst/>
                          <a:cxnLst/>
                          <a:pathLst>
                            <a:path w="4" h="617">
                              <a:moveTo>
                                <a:pt x="0" y="0"/>
                              </a:moveTo>
                              <a:lnTo>
                                <a:pt x="4" y="617"/>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30" o:spid="_x0000_s1026" o:spt="100" style="position:absolute;left:0pt;margin-left:378.8pt;margin-top:10.6pt;height:30.85pt;width:0.2pt;z-index:251693056;mso-width-relative:page;mso-height-relative:page;" filled="f" stroked="t" coordsize="4,617" o:gfxdata="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8qnqNoAAAAJAQAADwAAAAAAAAABACAAAAAiAAAAZHJzL2Rvd25yZXYueG1sUEsBAhQA&#10;FAAAAAgAh07iQF4x6zspAgAATgQAAA4AAAAAAAAAAQAgAAAAKQEAAGRycy9lMm9Eb2MueG1sUEsF&#10;BgAAAAAGAAYAWQEAAMQFAAAAAA==&#10;" path="m0,0l4,617e">
                <v:fill on="f" focussize="0,0"/>
                <v:stroke color="#000000" joinstyle="round" endarrow="block"/>
                <v:imagedata o:title=""/>
                <o:lock v:ext="edit" aspectratio="f"/>
              </v:shape>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5578475</wp:posOffset>
                </wp:positionH>
                <wp:positionV relativeFrom="paragraph">
                  <wp:posOffset>146685</wp:posOffset>
                </wp:positionV>
                <wp:extent cx="2540" cy="391795"/>
                <wp:effectExtent l="36195" t="0" r="37465" b="8255"/>
                <wp:wrapNone/>
                <wp:docPr id="37" name="任意多边形 29"/>
                <wp:cNvGraphicFramePr/>
                <a:graphic xmlns:a="http://schemas.openxmlformats.org/drawingml/2006/main">
                  <a:graphicData uri="http://schemas.microsoft.com/office/word/2010/wordprocessingShape">
                    <wps:wsp>
                      <wps:cNvSpPr/>
                      <wps:spPr>
                        <a:xfrm>
                          <a:off x="0" y="0"/>
                          <a:ext cx="2540" cy="391795"/>
                        </a:xfrm>
                        <a:custGeom>
                          <a:avLst/>
                          <a:gdLst/>
                          <a:ahLst/>
                          <a:cxnLst/>
                          <a:pathLst>
                            <a:path w="4" h="617">
                              <a:moveTo>
                                <a:pt x="0" y="0"/>
                              </a:moveTo>
                              <a:lnTo>
                                <a:pt x="4" y="617"/>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29" o:spid="_x0000_s1026" o:spt="100" style="position:absolute;left:0pt;margin-left:439.25pt;margin-top:11.55pt;height:30.85pt;width:0.2pt;z-index:251695104;mso-width-relative:page;mso-height-relative:page;" filled="f" stroked="t" coordsize="4,617" o:gfxdata="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c1nvb2AAAAAkBAAAPAAAAAAAAAAEAIAAAACIAAABkcnMvZG93bnJldi54bWxQSwECFAAU&#10;AAAACACHTuJA3bzJ4SoCAABOBAAADgAAAAAAAAABACAAAAAnAQAAZHJzL2Uyb0RvYy54bWxQSwUG&#10;AAAAAAYABgBZAQAAwwUAAAAA&#10;" path="m0,0l4,617e">
                <v:fill on="f" focussize="0,0"/>
                <v:stroke color="#000000" joinstyle="round" endarrow="block"/>
                <v:imagedata o:title=""/>
                <o:lock v:ext="edit" aspectratio="f"/>
              </v:shape>
            </w:pict>
          </mc:Fallback>
        </mc:AlternateContent>
      </w: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75648" behindDoc="1" locked="0" layoutInCell="1" allowOverlap="1">
                <wp:simplePos x="0" y="0"/>
                <wp:positionH relativeFrom="column">
                  <wp:posOffset>-479425</wp:posOffset>
                </wp:positionH>
                <wp:positionV relativeFrom="paragraph">
                  <wp:posOffset>165100</wp:posOffset>
                </wp:positionV>
                <wp:extent cx="457200" cy="1659890"/>
                <wp:effectExtent l="4445" t="4445" r="14605" b="12065"/>
                <wp:wrapNone/>
                <wp:docPr id="18" name="矩形 41"/>
                <wp:cNvGraphicFramePr/>
                <a:graphic xmlns:a="http://schemas.openxmlformats.org/drawingml/2006/main">
                  <a:graphicData uri="http://schemas.microsoft.com/office/word/2010/wordprocessingShape">
                    <wps:wsp>
                      <wps:cNvSpPr/>
                      <wps:spPr>
                        <a:xfrm flipH="1">
                          <a:off x="0" y="0"/>
                          <a:ext cx="457200" cy="1659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应急指挥组</w:t>
                            </w:r>
                          </w:p>
                        </w:txbxContent>
                      </wps:txbx>
                      <wps:bodyPr vert="horz" wrap="square" anchor="t" upright="1"/>
                    </wps:wsp>
                  </a:graphicData>
                </a:graphic>
              </wp:anchor>
            </w:drawing>
          </mc:Choice>
          <mc:Fallback>
            <w:pict>
              <v:rect id="矩形 41" o:spid="_x0000_s1026" o:spt="1" style="position:absolute;left:0pt;flip:x;margin-left:-37.75pt;margin-top:13pt;height:130.7pt;width:36pt;z-index:-251640832;mso-width-relative:page;mso-height-relative:page;" fillcolor="#FFFFFF" filled="t" stroked="t" coordsize="21600,21600" o:gfxdata="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OUzk7XAAAACQEAAA8AAAAAAAAAAQAgAAAAIgAA&#10;AGRycy9kb3ducmV2LnhtbFBLAQIUABQAAAAIAIdO4kCVAjXbCQIAAAwEAAAOAAAAAAAAAAEAIAAA&#10;ACYBAABkcnMvZTJvRG9jLnhtbFBLBQYAAAAABgAGAFkBAAChBQ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应急指挥组</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265430</wp:posOffset>
                </wp:positionH>
                <wp:positionV relativeFrom="paragraph">
                  <wp:posOffset>167640</wp:posOffset>
                </wp:positionV>
                <wp:extent cx="457200" cy="1391920"/>
                <wp:effectExtent l="4445" t="4445" r="14605" b="13335"/>
                <wp:wrapNone/>
                <wp:docPr id="2" name="矩形 49"/>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lang w:eastAsia="zh-CN"/>
                              </w:rPr>
                            </w:pPr>
                            <w:r>
                              <w:rPr>
                                <w:rFonts w:hint="eastAsia" w:ascii="仿宋_GB2312"/>
                                <w:sz w:val="24"/>
                                <w:szCs w:val="24"/>
                                <w:lang w:eastAsia="zh-CN"/>
                              </w:rPr>
                              <w:t>综合协调组</w:t>
                            </w:r>
                          </w:p>
                        </w:txbxContent>
                      </wps:txbx>
                      <wps:bodyPr wrap="square" upright="1"/>
                    </wps:wsp>
                  </a:graphicData>
                </a:graphic>
              </wp:anchor>
            </w:drawing>
          </mc:Choice>
          <mc:Fallback>
            <w:pict>
              <v:rect id="矩形 49" o:spid="_x0000_s1026" o:spt="1" style="position:absolute;left:0pt;flip:x;margin-left:20.9pt;margin-top:13.2pt;height:109.6pt;width:36pt;z-index:-251657216;mso-width-relative:page;mso-height-relative:page;" fillcolor="#FFFFFF" filled="t" stroked="t" coordsize="21600,21600" o:gfxdata="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pZ9/NYAAAAJAQAADwAAAAAAAAABACAAAAAiAAAAZHJzL2Rvd25yZXYueG1s&#10;UEsBAhQAFAAAAAgAh07iQGSYriP6AQAA9AMAAA4AAAAAAAAAAQAgAAAAJQEAAGRycy9lMm9Eb2Mu&#10;eG1sUEsFBgAAAAAGAAYAWQEAAJEFAAAAAA==&#10;">
                <v:fill on="t" focussize="0,0"/>
                <v:stroke color="#000000" joinstyle="miter"/>
                <v:imagedata o:title=""/>
                <o:lock v:ext="edit" aspectratio="f"/>
                <v:textbox>
                  <w:txbxContent>
                    <w:p>
                      <w:pPr>
                        <w:jc w:val="center"/>
                        <w:rPr>
                          <w:rFonts w:hint="eastAsia" w:ascii="仿宋_GB2312" w:eastAsia="宋体"/>
                          <w:lang w:eastAsia="zh-CN"/>
                        </w:rPr>
                      </w:pPr>
                      <w:r>
                        <w:rPr>
                          <w:rFonts w:hint="eastAsia" w:ascii="仿宋_GB2312"/>
                          <w:sz w:val="24"/>
                          <w:szCs w:val="24"/>
                          <w:lang w:eastAsia="zh-CN"/>
                        </w:rPr>
                        <w:t>综合协调组</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996315</wp:posOffset>
                </wp:positionH>
                <wp:positionV relativeFrom="paragraph">
                  <wp:posOffset>164465</wp:posOffset>
                </wp:positionV>
                <wp:extent cx="457200" cy="1391920"/>
                <wp:effectExtent l="4445" t="4445" r="14605" b="13335"/>
                <wp:wrapNone/>
                <wp:docPr id="3" name="矩形 47"/>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疏散警戒组</w:t>
                            </w:r>
                          </w:p>
                        </w:txbxContent>
                      </wps:txbx>
                      <wps:bodyPr wrap="square" upright="1"/>
                    </wps:wsp>
                  </a:graphicData>
                </a:graphic>
              </wp:anchor>
            </w:drawing>
          </mc:Choice>
          <mc:Fallback>
            <w:pict>
              <v:rect id="矩形 47" o:spid="_x0000_s1026" o:spt="1" style="position:absolute;left:0pt;flip:x;margin-left:78.45pt;margin-top:12.95pt;height:109.6pt;width:36pt;z-index:-251656192;mso-width-relative:page;mso-height-relative:page;" fillcolor="#FFFFFF" filled="t" stroked="t" coordsize="21600,21600" o:gfxdata="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ql971wAAAAoBAAAPAAAAAAAAAAEAIAAAACIAAABkcnMvZG93bnJldi54&#10;bWxQSwECFAAUAAAACACHTuJAqOxG2vsBAAD0AwAADgAAAAAAAAABACAAAAAmAQAAZHJzL2Uyb0Rv&#10;Yy54bWxQSwUGAAAAAAYABgBZAQAAkwU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疏散警戒组</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3360" behindDoc="1" locked="0" layoutInCell="1" allowOverlap="1">
                <wp:simplePos x="0" y="0"/>
                <wp:positionH relativeFrom="column">
                  <wp:posOffset>1795145</wp:posOffset>
                </wp:positionH>
                <wp:positionV relativeFrom="paragraph">
                  <wp:posOffset>183515</wp:posOffset>
                </wp:positionV>
                <wp:extent cx="457200" cy="1391920"/>
                <wp:effectExtent l="4445" t="4445" r="14605" b="13335"/>
                <wp:wrapNone/>
                <wp:docPr id="6" name="矩形 48"/>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医疗救护组</w:t>
                            </w:r>
                          </w:p>
                        </w:txbxContent>
                      </wps:txbx>
                      <wps:bodyPr wrap="square" upright="1"/>
                    </wps:wsp>
                  </a:graphicData>
                </a:graphic>
              </wp:anchor>
            </w:drawing>
          </mc:Choice>
          <mc:Fallback>
            <w:pict>
              <v:rect id="矩形 48" o:spid="_x0000_s1026" o:spt="1" style="position:absolute;left:0pt;flip:x;margin-left:141.35pt;margin-top:14.45pt;height:109.6pt;width:36pt;z-index:-251653120;mso-width-relative:page;mso-height-relative:page;" fillcolor="#FFFFFF" filled="t" stroked="t" coordsize="21600,21600" o:gfxdata="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0AAN1wAAAAoBAAAPAAAAAAAAAAEAIAAAACIAAABkcnMvZG93bnJldi54&#10;bWxQSwECFAAUAAAACACHTuJAFmTSfvsBAAD0AwAADgAAAAAAAAABACAAAAAmAQAAZHJzL2Uyb0Rv&#10;Yy54bWxQSwUGAAAAAAYABgBZAQAAkwU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医疗救护组</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4384" behindDoc="1" locked="0" layoutInCell="1" allowOverlap="1">
                <wp:simplePos x="0" y="0"/>
                <wp:positionH relativeFrom="column">
                  <wp:posOffset>2527300</wp:posOffset>
                </wp:positionH>
                <wp:positionV relativeFrom="paragraph">
                  <wp:posOffset>173355</wp:posOffset>
                </wp:positionV>
                <wp:extent cx="457200" cy="1391920"/>
                <wp:effectExtent l="4445" t="4445" r="14605" b="13335"/>
                <wp:wrapNone/>
                <wp:docPr id="7" name="矩形 46"/>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lang w:eastAsia="zh-CN"/>
                              </w:rPr>
                            </w:pPr>
                            <w:r>
                              <w:rPr>
                                <w:rFonts w:hint="eastAsia" w:ascii="仿宋_GB2312"/>
                                <w:lang w:eastAsia="zh-CN"/>
                              </w:rPr>
                              <w:t>设备电力保障组</w:t>
                            </w:r>
                          </w:p>
                        </w:txbxContent>
                      </wps:txbx>
                      <wps:bodyPr wrap="square" upright="1"/>
                    </wps:wsp>
                  </a:graphicData>
                </a:graphic>
              </wp:anchor>
            </w:drawing>
          </mc:Choice>
          <mc:Fallback>
            <w:pict>
              <v:rect id="矩形 46" o:spid="_x0000_s1026" o:spt="1" style="position:absolute;left:0pt;flip:x;margin-left:199pt;margin-top:13.65pt;height:109.6pt;width:36pt;z-index:-251652096;mso-width-relative:page;mso-height-relative:page;" fillcolor="#FFFFFF" filled="t" stroked="t" coordsize="21600,21600" o:gfxdata="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x6ZtgAAAAKAQAADwAAAAAAAAABACAAAAAiAAAAZHJzL2Rvd25yZXYu&#10;eG1sUEsBAhQAFAAAAAgAh07iQNoQOof7AQAA9AMAAA4AAAAAAAAAAQAgAAAAJwEAAGRycy9lMm9E&#10;b2MueG1sUEsFBgAAAAAGAAYAWQEAAJQFAAAAAA==&#10;">
                <v:fill on="t" focussize="0,0"/>
                <v:stroke color="#000000" joinstyle="miter"/>
                <v:imagedata o:title=""/>
                <o:lock v:ext="edit" aspectratio="f"/>
                <v:textbox>
                  <w:txbxContent>
                    <w:p>
                      <w:pPr>
                        <w:jc w:val="center"/>
                        <w:rPr>
                          <w:rFonts w:hint="eastAsia" w:ascii="仿宋_GB2312" w:eastAsia="宋体"/>
                          <w:lang w:eastAsia="zh-CN"/>
                        </w:rPr>
                      </w:pPr>
                      <w:r>
                        <w:rPr>
                          <w:rFonts w:hint="eastAsia" w:ascii="仿宋_GB2312"/>
                          <w:lang w:eastAsia="zh-CN"/>
                        </w:rPr>
                        <w:t>设备电力保障组</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7456" behindDoc="1" locked="0" layoutInCell="1" allowOverlap="1">
                <wp:simplePos x="0" y="0"/>
                <wp:positionH relativeFrom="column">
                  <wp:posOffset>3221355</wp:posOffset>
                </wp:positionH>
                <wp:positionV relativeFrom="paragraph">
                  <wp:posOffset>172720</wp:posOffset>
                </wp:positionV>
                <wp:extent cx="457200" cy="1391920"/>
                <wp:effectExtent l="4445" t="4445" r="14605" b="13335"/>
                <wp:wrapNone/>
                <wp:docPr id="10" name="矩形 45"/>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后勤保障组</w:t>
                            </w:r>
                          </w:p>
                        </w:txbxContent>
                      </wps:txbx>
                      <wps:bodyPr wrap="square" upright="1"/>
                    </wps:wsp>
                  </a:graphicData>
                </a:graphic>
              </wp:anchor>
            </w:drawing>
          </mc:Choice>
          <mc:Fallback>
            <w:pict>
              <v:rect id="矩形 45" o:spid="_x0000_s1026" o:spt="1" style="position:absolute;left:0pt;flip:x;margin-left:253.65pt;margin-top:13.6pt;height:109.6pt;width:36pt;z-index:-251649024;mso-width-relative:page;mso-height-relative:page;" fillcolor="#FFFFFF" filled="t" stroked="t" coordsize="21600,21600" o:gfxdata="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NBU62AAAAAoBAAAPAAAAAAAAAAEAIAAAACIAAABkcnMvZG93bnJldi54&#10;bWxQSwECFAAUAAAACACHTuJAeXL2JvoBAAD1AwAADgAAAAAAAAABACAAAAAnAQAAZHJzL2Uyb0Rv&#10;Yy54bWxQSwUGAAAAAAYABgBZAQAAkwU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后勤保障组</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68480" behindDoc="1" locked="0" layoutInCell="1" allowOverlap="1">
                <wp:simplePos x="0" y="0"/>
                <wp:positionH relativeFrom="column">
                  <wp:posOffset>3894455</wp:posOffset>
                </wp:positionH>
                <wp:positionV relativeFrom="paragraph">
                  <wp:posOffset>173990</wp:posOffset>
                </wp:positionV>
                <wp:extent cx="457200" cy="1391920"/>
                <wp:effectExtent l="4445" t="4445" r="14605" b="13335"/>
                <wp:wrapNone/>
                <wp:docPr id="11" name="矩形 44"/>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信息联络组</w:t>
                            </w:r>
                          </w:p>
                        </w:txbxContent>
                      </wps:txbx>
                      <wps:bodyPr wrap="square" upright="1"/>
                    </wps:wsp>
                  </a:graphicData>
                </a:graphic>
              </wp:anchor>
            </w:drawing>
          </mc:Choice>
          <mc:Fallback>
            <w:pict>
              <v:rect id="矩形 44" o:spid="_x0000_s1026" o:spt="1" style="position:absolute;left:0pt;flip:x;margin-left:306.65pt;margin-top:13.7pt;height:109.6pt;width:36pt;z-index:-251648000;mso-width-relative:page;mso-height-relative:page;" fillcolor="#FFFFFF" filled="t" stroked="t" coordsize="21600,21600" o:gfxdata="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5M1GW2AAAAAoBAAAPAAAAAAAAAAEAIAAAACIAAABkcnMvZG93bnJldi54&#10;bWxQSwECFAAUAAAACACHTuJA9TVe3PoBAAD1AwAADgAAAAAAAAABACAAAAAnAQAAZHJzL2Uyb0Rv&#10;Yy54bWxQSwUGAAAAAAYABgBZAQAAkwU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信息联络组</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71552" behindDoc="1" locked="0" layoutInCell="1" allowOverlap="1">
                <wp:simplePos x="0" y="0"/>
                <wp:positionH relativeFrom="column">
                  <wp:posOffset>4594225</wp:posOffset>
                </wp:positionH>
                <wp:positionV relativeFrom="paragraph">
                  <wp:posOffset>182245</wp:posOffset>
                </wp:positionV>
                <wp:extent cx="457200" cy="1391920"/>
                <wp:effectExtent l="4445" t="4445" r="14605" b="13335"/>
                <wp:wrapNone/>
                <wp:docPr id="14" name="矩形 43"/>
                <wp:cNvGraphicFramePr/>
                <a:graphic xmlns:a="http://schemas.openxmlformats.org/drawingml/2006/main">
                  <a:graphicData uri="http://schemas.microsoft.com/office/word/2010/wordprocessingShape">
                    <wps:wsp>
                      <wps:cNvSpPr/>
                      <wps:spPr>
                        <a:xfrm flipH="1">
                          <a:off x="0" y="0"/>
                          <a:ext cx="457200" cy="1391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sz w:val="24"/>
                                <w:szCs w:val="24"/>
                                <w:lang w:eastAsia="zh-CN"/>
                              </w:rPr>
                            </w:pPr>
                            <w:r>
                              <w:rPr>
                                <w:rFonts w:hint="eastAsia" w:ascii="仿宋_GB2312"/>
                                <w:sz w:val="24"/>
                                <w:szCs w:val="24"/>
                                <w:lang w:eastAsia="zh-CN"/>
                              </w:rPr>
                              <w:t>专家技术组</w:t>
                            </w:r>
                          </w:p>
                        </w:txbxContent>
                      </wps:txbx>
                      <wps:bodyPr wrap="square" upright="1"/>
                    </wps:wsp>
                  </a:graphicData>
                </a:graphic>
              </wp:anchor>
            </w:drawing>
          </mc:Choice>
          <mc:Fallback>
            <w:pict>
              <v:rect id="矩形 43" o:spid="_x0000_s1026" o:spt="1" style="position:absolute;left:0pt;flip:x;margin-left:361.75pt;margin-top:14.35pt;height:109.6pt;width:36pt;z-index:-251644928;mso-width-relative:page;mso-height-relative:page;" fillcolor="#FFFFFF" filled="t" stroked="t" coordsize="21600,21600" o:gfxdata="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a9mhdgAAAAKAQAADwAAAAAAAAABACAAAAAiAAAAZHJzL2Rvd25yZXYu&#10;eG1sUEsBAhQAFAAAAAgAh07iQF4Nthf7AQAA9QMAAA4AAAAAAAAAAQAgAAAAJwEAAGRycy9lMm9E&#10;b2MueG1sUEsFBgAAAAAGAAYAWQEAAJQFAAAAAA==&#10;">
                <v:fill on="t" focussize="0,0"/>
                <v:stroke color="#000000" joinstyle="miter"/>
                <v:imagedata o:title=""/>
                <o:lock v:ext="edit" aspectratio="f"/>
                <v:textbox>
                  <w:txbxContent>
                    <w:p>
                      <w:pPr>
                        <w:jc w:val="center"/>
                        <w:rPr>
                          <w:rFonts w:hint="eastAsia" w:ascii="仿宋_GB2312" w:eastAsia="宋体"/>
                          <w:sz w:val="24"/>
                          <w:szCs w:val="24"/>
                          <w:lang w:eastAsia="zh-CN"/>
                        </w:rPr>
                      </w:pPr>
                      <w:r>
                        <w:rPr>
                          <w:rFonts w:hint="eastAsia" w:ascii="仿宋_GB2312"/>
                          <w:sz w:val="24"/>
                          <w:szCs w:val="24"/>
                          <w:lang w:eastAsia="zh-CN"/>
                        </w:rPr>
                        <w:t>专家技术组</w:t>
                      </w:r>
                    </w:p>
                  </w:txbxContent>
                </v:textbox>
              </v:rect>
            </w:pict>
          </mc:Fallback>
        </mc:AlternateContent>
      </w:r>
      <w:r>
        <w:rPr>
          <w:rFonts w:hint="eastAsia" w:ascii="仿宋_GB2312" w:hAnsi="仿宋" w:eastAsia="仿宋_GB2312" w:cs="黑体"/>
          <w:kern w:val="2"/>
          <w:sz w:val="28"/>
          <w:szCs w:val="28"/>
          <w:lang w:val="en-US" w:eastAsia="zh-CN" w:bidi="ar-SA"/>
        </w:rPr>
        <mc:AlternateContent>
          <mc:Choice Requires="wps">
            <w:drawing>
              <wp:anchor distT="0" distB="0" distL="114300" distR="114300" simplePos="0" relativeHeight="251672576" behindDoc="1" locked="0" layoutInCell="1" allowOverlap="1">
                <wp:simplePos x="0" y="0"/>
                <wp:positionH relativeFrom="column">
                  <wp:posOffset>5334635</wp:posOffset>
                </wp:positionH>
                <wp:positionV relativeFrom="paragraph">
                  <wp:posOffset>190500</wp:posOffset>
                </wp:positionV>
                <wp:extent cx="457200" cy="1824355"/>
                <wp:effectExtent l="4445" t="4445" r="14605" b="19050"/>
                <wp:wrapNone/>
                <wp:docPr id="15" name="矩形 42"/>
                <wp:cNvGraphicFramePr/>
                <a:graphic xmlns:a="http://schemas.openxmlformats.org/drawingml/2006/main">
                  <a:graphicData uri="http://schemas.microsoft.com/office/word/2010/wordprocessingShape">
                    <wps:wsp>
                      <wps:cNvSpPr/>
                      <wps:spPr>
                        <a:xfrm flipH="1">
                          <a:off x="0" y="0"/>
                          <a:ext cx="457200" cy="182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宋体"/>
                                <w:lang w:eastAsia="zh-CN"/>
                              </w:rPr>
                            </w:pPr>
                            <w:r>
                              <w:rPr>
                                <w:rFonts w:hint="eastAsia" w:ascii="仿宋_GB2312"/>
                                <w:lang w:eastAsia="zh-CN"/>
                              </w:rPr>
                              <w:t>事件调查及环境监测组</w:t>
                            </w:r>
                          </w:p>
                        </w:txbxContent>
                      </wps:txbx>
                      <wps:bodyPr wrap="square" upright="1"/>
                    </wps:wsp>
                  </a:graphicData>
                </a:graphic>
              </wp:anchor>
            </w:drawing>
          </mc:Choice>
          <mc:Fallback>
            <w:pict>
              <v:rect id="矩形 42" o:spid="_x0000_s1026" o:spt="1" style="position:absolute;left:0pt;flip:x;margin-left:420.05pt;margin-top:15pt;height:143.65pt;width:36pt;z-index:-251643904;mso-width-relative:page;mso-height-relative:page;" fillcolor="#FFFFFF" filled="t" stroked="t" coordsize="21600,21600" o:gfxdata="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7EF3vXAAAACgEAAA8AAAAAAAAAAQAgAAAAIgAAAGRycy9kb3ducmV2LnhtbFBL&#10;AQIUABQAAAAIAIdO4kCD2rYl9wEAAPUDAAAOAAAAAAAAAAEAIAAAACYBAABkcnMvZTJvRG9jLnht&#10;bFBLBQYAAAAABgAGAFkBAACPBQAAAAA=&#10;">
                <v:fill on="t" focussize="0,0"/>
                <v:stroke color="#000000" joinstyle="miter"/>
                <v:imagedata o:title=""/>
                <o:lock v:ext="edit" aspectratio="f"/>
                <v:textbox>
                  <w:txbxContent>
                    <w:p>
                      <w:pPr>
                        <w:jc w:val="center"/>
                        <w:rPr>
                          <w:rFonts w:hint="eastAsia" w:ascii="仿宋_GB2312" w:eastAsia="宋体"/>
                          <w:lang w:eastAsia="zh-CN"/>
                        </w:rPr>
                      </w:pPr>
                      <w:r>
                        <w:rPr>
                          <w:rFonts w:hint="eastAsia" w:ascii="仿宋_GB2312"/>
                          <w:lang w:eastAsia="zh-CN"/>
                        </w:rPr>
                        <w:t>事件调查及环境监测组</w:t>
                      </w:r>
                    </w:p>
                  </w:txbxContent>
                </v:textbox>
              </v:rect>
            </w:pict>
          </mc:Fallback>
        </mc:AlternateContent>
      </w: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6"/>
        <w:tabs>
          <w:tab w:val="left" w:pos="1260"/>
          <w:tab w:val="left" w:pos="2520"/>
          <w:tab w:val="left" w:pos="3780"/>
          <w:tab w:val="left" w:pos="5040"/>
          <w:tab w:val="left" w:pos="6300"/>
          <w:tab w:val="left" w:pos="8820"/>
        </w:tabs>
        <w:spacing w:line="360" w:lineRule="auto"/>
        <w:rPr>
          <w:rFonts w:hint="eastAsia" w:ascii="仿宋_GB2312" w:hAnsi="仿宋" w:eastAsia="仿宋_GB2312"/>
          <w:sz w:val="28"/>
          <w:szCs w:val="28"/>
        </w:rPr>
      </w:pPr>
    </w:p>
    <w:p>
      <w:pPr>
        <w:pStyle w:val="12"/>
        <w:rPr>
          <w:rFonts w:hint="eastAsia" w:ascii="Times New Roman" w:hAnsi="Times New Roman" w:eastAsia="仿宋_GB2312" w:cs="Times New Roman"/>
          <w:bCs w:val="0"/>
          <w:sz w:val="28"/>
          <w:szCs w:val="28"/>
        </w:rPr>
      </w:pPr>
      <w:bookmarkStart w:id="484" w:name="_Toc402516980"/>
      <w:bookmarkStart w:id="485" w:name="_Toc6621"/>
      <w:bookmarkStart w:id="486" w:name="_Toc27252"/>
      <w:bookmarkStart w:id="487" w:name="_Toc12657"/>
      <w:r>
        <w:rPr>
          <w:rFonts w:hint="eastAsia" w:ascii="Times New Roman" w:hAnsi="Times New Roman" w:eastAsia="仿宋_GB2312" w:cs="Times New Roman"/>
          <w:bCs w:val="0"/>
          <w:sz w:val="28"/>
          <w:szCs w:val="28"/>
        </w:rPr>
        <w:t>附件2  相关单位和人员通讯录</w:t>
      </w:r>
      <w:bookmarkEnd w:id="484"/>
      <w:bookmarkEnd w:id="485"/>
      <w:bookmarkEnd w:id="486"/>
      <w:bookmarkEnd w:id="487"/>
    </w:p>
    <w:p>
      <w:pPr>
        <w:spacing w:line="360" w:lineRule="auto"/>
        <w:ind w:firstLine="560" w:firstLineChars="200"/>
        <w:rPr>
          <w:rFonts w:hint="eastAsia" w:ascii="Times New Roman" w:hAnsi="Times New Roman" w:eastAsia="仿宋_GB2312" w:cs="Times New Roman"/>
          <w:bCs w:val="0"/>
          <w:kern w:val="0"/>
          <w:sz w:val="28"/>
          <w:szCs w:val="28"/>
          <w:lang w:val="en-US" w:eastAsia="zh-CN" w:bidi="ar-SA"/>
        </w:rPr>
      </w:pPr>
      <w:r>
        <w:rPr>
          <w:rFonts w:hint="eastAsia" w:ascii="Times New Roman" w:hAnsi="Times New Roman" w:eastAsia="仿宋_GB2312" w:cs="Times New Roman"/>
          <w:bCs w:val="0"/>
          <w:kern w:val="0"/>
          <w:sz w:val="28"/>
          <w:szCs w:val="28"/>
          <w:lang w:val="en-US" w:eastAsia="zh-CN" w:bidi="ar-SA"/>
        </w:rPr>
        <w:t>（1）内部应急救援组织机构成员及联系电话</w:t>
      </w:r>
    </w:p>
    <w:tbl>
      <w:tblPr>
        <w:tblStyle w:val="26"/>
        <w:tblW w:w="87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3"/>
        <w:gridCol w:w="1680"/>
        <w:gridCol w:w="2180"/>
        <w:gridCol w:w="1850"/>
        <w:gridCol w:w="1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姓名</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部门</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职务</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联系电话</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缩位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4" w:hRule="atLeast"/>
        </w:trPr>
        <w:tc>
          <w:tcPr>
            <w:tcW w:w="1263" w:type="dxa"/>
            <w:tcBorders>
              <w:top w:val="single" w:color="auto" w:sz="4" w:space="0"/>
              <w:left w:val="single" w:color="auto" w:sz="4" w:space="0"/>
              <w:bottom w:val="single" w:color="auto" w:sz="4" w:space="0"/>
              <w:right w:val="single" w:color="auto" w:sz="4" w:space="0"/>
            </w:tcBorders>
            <w:vAlign w:val="center"/>
          </w:tcPr>
          <w:p>
            <w:pPr>
              <w:widowControl/>
              <w:spacing w:before="50" w:after="50"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苏华雷</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总经理</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0913-2267915</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任小龙</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常务副总</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0913-2267917</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6112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杜伟峰</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p>
        </w:tc>
        <w:tc>
          <w:tcPr>
            <w:tcW w:w="218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总经理助理</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0913-2267951</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sz w:val="24"/>
                <w:szCs w:val="24"/>
                <w:lang w:val="en-US" w:eastAsia="zh-CN"/>
              </w:rPr>
              <w:t>6332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白俊生</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技术科</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科  长</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0913-2267937</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6186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7"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常哲平</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生产科</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科  长</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0913-2267903</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sz w:val="24"/>
                <w:szCs w:val="24"/>
                <w:lang w:val="en-US" w:eastAsia="zh-CN"/>
              </w:rPr>
              <w:t>65168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郭民宏</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设备科</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科  长</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0913-2267907</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6536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缑战民</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总经办</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  任</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0913-2267913</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董向鹏</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供应科</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科  长</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0913-2267929</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13992344624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徐根华</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安环科</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科</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lang w:eastAsia="zh-CN"/>
              </w:rPr>
              <w:t>长</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0913-2267928</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刘彦峰</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储运科</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科</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lang w:eastAsia="zh-CN"/>
              </w:rPr>
              <w:t>长</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0913-2267902</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樊晓龙</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动力科</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科</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lang w:eastAsia="zh-CN"/>
              </w:rPr>
              <w:t>长</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同满盈</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CN"/>
              </w:rPr>
              <w:t>硝钡精制</w:t>
            </w:r>
            <w:r>
              <w:rPr>
                <w:rFonts w:hint="eastAsia" w:ascii="仿宋_GB2312" w:hAnsi="仿宋_GB2312" w:eastAsia="仿宋_GB2312" w:cs="仿宋_GB2312"/>
                <w:kern w:val="0"/>
                <w:sz w:val="24"/>
                <w:szCs w:val="24"/>
              </w:rPr>
              <w:t>车间</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  任</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both"/>
              <w:rPr>
                <w:rFonts w:hint="eastAsia" w:ascii="仿宋_GB2312" w:hAnsi="仿宋_GB2312" w:eastAsia="仿宋_GB2312" w:cs="仿宋_GB2312"/>
                <w:kern w:val="0"/>
                <w:sz w:val="24"/>
                <w:szCs w:val="24"/>
                <w:lang w:val="en-US" w:eastAsia="zh-CN"/>
              </w:rPr>
            </w:pP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68888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李同季</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硫化钠车间</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  任</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0913-2267925</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孙广良</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超细钡车间</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  任</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0913-2267920</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6829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126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王</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lang w:eastAsia="zh-CN"/>
              </w:rPr>
              <w:t>斌</w:t>
            </w:r>
          </w:p>
        </w:tc>
        <w:tc>
          <w:tcPr>
            <w:tcW w:w="1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精细钡车间</w:t>
            </w:r>
          </w:p>
        </w:tc>
        <w:tc>
          <w:tcPr>
            <w:tcW w:w="21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  任</w:t>
            </w:r>
          </w:p>
        </w:tc>
        <w:tc>
          <w:tcPr>
            <w:tcW w:w="185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0913-2267897</w:t>
            </w:r>
          </w:p>
        </w:tc>
        <w:tc>
          <w:tcPr>
            <w:tcW w:w="17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67502</w:t>
            </w:r>
          </w:p>
        </w:tc>
      </w:tr>
    </w:tbl>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24小时</w:t>
      </w:r>
      <w:r>
        <w:rPr>
          <w:rFonts w:hint="eastAsia" w:ascii="仿宋_GB2312" w:hAnsi="仿宋_GB2312" w:eastAsia="仿宋_GB2312" w:cs="仿宋_GB2312"/>
          <w:kern w:val="0"/>
          <w:sz w:val="28"/>
          <w:szCs w:val="28"/>
        </w:rPr>
        <w:t>值班联系电话</w:t>
      </w:r>
      <w:r>
        <w:rPr>
          <w:rFonts w:hint="eastAsia" w:ascii="仿宋_GB2312" w:hAnsi="仿宋_GB2312" w:eastAsia="仿宋_GB2312" w:cs="仿宋_GB2312"/>
          <w:sz w:val="28"/>
          <w:szCs w:val="28"/>
        </w:rPr>
        <w:t>：0913-2267903/2267928  13891448677（6825）</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（2）外部救援单位及联系电话</w:t>
      </w:r>
      <w:r>
        <w:rPr>
          <w:rFonts w:hint="eastAsia" w:ascii="仿宋_GB2312" w:hAnsi="仿宋_GB2312" w:eastAsia="仿宋_GB2312" w:cs="仿宋_GB2312"/>
          <w:kern w:val="0"/>
          <w:sz w:val="28"/>
          <w:szCs w:val="28"/>
        </w:rPr>
        <w:t>一览表</w:t>
      </w:r>
    </w:p>
    <w:tbl>
      <w:tblPr>
        <w:tblStyle w:val="26"/>
        <w:tblW w:w="89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68"/>
        <w:gridCol w:w="3060"/>
        <w:gridCol w:w="1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068"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单位名称</w:t>
            </w:r>
          </w:p>
        </w:tc>
        <w:tc>
          <w:tcPr>
            <w:tcW w:w="306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联系电话</w:t>
            </w:r>
          </w:p>
        </w:tc>
        <w:tc>
          <w:tcPr>
            <w:tcW w:w="180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068"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富平县环保局</w:t>
            </w:r>
          </w:p>
        </w:tc>
        <w:tc>
          <w:tcPr>
            <w:tcW w:w="306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0913-8214941/</w:t>
            </w:r>
            <w:r>
              <w:rPr>
                <w:rFonts w:hint="eastAsia" w:ascii="仿宋_GB2312" w:hAnsi="仿宋_GB2312" w:eastAsia="仿宋_GB2312" w:cs="仿宋_GB2312"/>
                <w:kern w:val="0"/>
                <w:sz w:val="24"/>
                <w:szCs w:val="24"/>
              </w:rPr>
              <w:t>12369</w:t>
            </w:r>
          </w:p>
        </w:tc>
        <w:tc>
          <w:tcPr>
            <w:tcW w:w="180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068"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富平县安监局</w:t>
            </w:r>
          </w:p>
        </w:tc>
        <w:tc>
          <w:tcPr>
            <w:tcW w:w="306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0913-8201621</w:t>
            </w:r>
          </w:p>
        </w:tc>
        <w:tc>
          <w:tcPr>
            <w:tcW w:w="180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068"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火   警</w:t>
            </w:r>
          </w:p>
        </w:tc>
        <w:tc>
          <w:tcPr>
            <w:tcW w:w="306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119</w:t>
            </w:r>
          </w:p>
        </w:tc>
        <w:tc>
          <w:tcPr>
            <w:tcW w:w="180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068"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医疗</w:t>
            </w:r>
            <w:r>
              <w:rPr>
                <w:rFonts w:hint="eastAsia" w:ascii="仿宋_GB2312" w:hAnsi="仿宋_GB2312" w:eastAsia="仿宋_GB2312" w:cs="仿宋_GB2312"/>
                <w:kern w:val="0"/>
                <w:sz w:val="24"/>
                <w:szCs w:val="24"/>
              </w:rPr>
              <w:t>急救</w:t>
            </w:r>
          </w:p>
        </w:tc>
        <w:tc>
          <w:tcPr>
            <w:tcW w:w="306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120</w:t>
            </w:r>
          </w:p>
        </w:tc>
        <w:tc>
          <w:tcPr>
            <w:tcW w:w="180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068"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交警中心</w:t>
            </w:r>
          </w:p>
        </w:tc>
        <w:tc>
          <w:tcPr>
            <w:tcW w:w="306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122</w:t>
            </w:r>
          </w:p>
        </w:tc>
        <w:tc>
          <w:tcPr>
            <w:tcW w:w="1800" w:type="dxa"/>
            <w:tcBorders>
              <w:top w:val="single" w:color="auto" w:sz="4" w:space="0"/>
              <w:left w:val="single" w:color="auto" w:sz="4" w:space="0"/>
              <w:bottom w:val="single" w:color="auto" w:sz="4" w:space="0"/>
              <w:right w:val="single" w:color="auto" w:sz="4" w:space="0"/>
            </w:tcBorders>
            <w:vAlign w:val="top"/>
          </w:tcPr>
          <w:p>
            <w:pPr>
              <w:spacing w:line="500" w:lineRule="exact"/>
              <w:jc w:val="center"/>
              <w:rPr>
                <w:rFonts w:hint="eastAsia" w:ascii="仿宋_GB2312" w:hAnsi="仿宋_GB2312" w:eastAsia="仿宋_GB2312" w:cs="仿宋_GB2312"/>
                <w:kern w:val="0"/>
                <w:sz w:val="24"/>
                <w:szCs w:val="24"/>
              </w:rPr>
            </w:pPr>
          </w:p>
        </w:tc>
      </w:tr>
    </w:tbl>
    <w:p>
      <w:pPr>
        <w:pStyle w:val="12"/>
        <w:rPr>
          <w:rFonts w:hint="eastAsia" w:ascii="Times New Roman" w:hAnsi="Times New Roman" w:eastAsia="仿宋_GB2312" w:cs="Times New Roman"/>
          <w:bCs w:val="0"/>
          <w:sz w:val="28"/>
          <w:szCs w:val="28"/>
        </w:rPr>
      </w:pPr>
      <w:bookmarkStart w:id="488" w:name="_Toc402516981"/>
      <w:bookmarkStart w:id="489" w:name="_Toc28688"/>
      <w:bookmarkStart w:id="490" w:name="_Toc26661"/>
      <w:bookmarkStart w:id="491" w:name="_Toc30751"/>
      <w:r>
        <w:rPr>
          <w:rFonts w:hint="eastAsia" w:ascii="Times New Roman" w:hAnsi="Times New Roman" w:eastAsia="仿宋_GB2312" w:cs="Times New Roman"/>
          <w:bCs w:val="0"/>
          <w:sz w:val="28"/>
          <w:szCs w:val="28"/>
        </w:rPr>
        <w:t>附件3  应急工作流程图</w:t>
      </w:r>
      <w:bookmarkEnd w:id="488"/>
      <w:bookmarkEnd w:id="489"/>
      <w:bookmarkEnd w:id="490"/>
      <w:bookmarkEnd w:id="491"/>
    </w:p>
    <w:p>
      <w:pPr>
        <w:ind w:firstLine="480" w:firstLineChars="200"/>
        <w:rPr>
          <w:rFonts w:hint="eastAsia"/>
          <w:sz w:val="24"/>
          <w:szCs w:val="24"/>
        </w:rPr>
      </w:pPr>
    </w:p>
    <w:p>
      <w:pPr>
        <w:jc w:val="center"/>
        <w:rPr>
          <w:rFonts w:hint="eastAsia"/>
          <w:sz w:val="48"/>
          <w:szCs w:val="48"/>
        </w:rPr>
      </w:pPr>
      <w:r>
        <w:rPr>
          <w:rFonts w:hint="eastAsia" w:ascii="黑体" w:eastAsia="黑体"/>
          <w:bCs/>
          <w:sz w:val="48"/>
          <w:szCs w:val="48"/>
        </w:rPr>
        <w:t>突发环境事件应急工作流程图</w:t>
      </w:r>
    </w:p>
    <w:p>
      <w:pPr>
        <w:spacing w:line="360" w:lineRule="auto"/>
        <w:rPr>
          <w:rFonts w:hint="eastAsia" w:eastAsia="宋体"/>
          <w:lang w:eastAsia="zh-CN"/>
        </w:rPr>
      </w:pPr>
      <w:r>
        <w:rPr>
          <w:rFonts w:hint="eastAsia" w:ascii="Calibri" w:hAnsi="Calibri" w:eastAsia="宋体" w:cs="黑体"/>
          <w:kern w:val="2"/>
          <w:sz w:val="21"/>
          <w:szCs w:val="24"/>
          <w:lang w:val="en-US" w:eastAsia="zh-CN" w:bidi="ar-SA"/>
        </w:rPr>
        <w:drawing>
          <wp:inline distT="0" distB="0" distL="114300" distR="114300">
            <wp:extent cx="5529580" cy="7288530"/>
            <wp:effectExtent l="0" t="0" r="13970" b="762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8"/>
                    <a:stretch>
                      <a:fillRect/>
                    </a:stretch>
                  </pic:blipFill>
                  <pic:spPr>
                    <a:xfrm>
                      <a:off x="0" y="0"/>
                      <a:ext cx="5529580" cy="7288530"/>
                    </a:xfrm>
                    <a:prstGeom prst="rect">
                      <a:avLst/>
                    </a:prstGeom>
                    <a:noFill/>
                    <a:ln w="9525">
                      <a:noFill/>
                    </a:ln>
                  </pic:spPr>
                </pic:pic>
              </a:graphicData>
            </a:graphic>
          </wp:inline>
        </w:drawing>
      </w:r>
    </w:p>
    <w:p>
      <w:pPr>
        <w:spacing w:line="360" w:lineRule="auto"/>
        <w:ind w:firstLine="235" w:firstLineChars="112"/>
        <w:sectPr>
          <w:footerReference r:id="rId5" w:type="default"/>
          <w:pgSz w:w="11906" w:h="16838"/>
          <w:pgMar w:top="1588" w:right="1588" w:bottom="1588" w:left="1588" w:header="851" w:footer="992" w:gutter="0"/>
          <w:pgNumType w:fmt="decimal" w:start="1"/>
          <w:cols w:space="720" w:num="1"/>
          <w:docGrid w:linePitch="312" w:charSpace="0"/>
        </w:sectPr>
      </w:pPr>
    </w:p>
    <w:p>
      <w:pPr>
        <w:pStyle w:val="12"/>
        <w:rPr>
          <w:rFonts w:hint="eastAsia" w:ascii="Times New Roman" w:hAnsi="Times New Roman" w:eastAsia="仿宋_GB2312" w:cs="Times New Roman"/>
          <w:bCs w:val="0"/>
          <w:sz w:val="28"/>
          <w:szCs w:val="28"/>
        </w:rPr>
      </w:pPr>
      <w:bookmarkStart w:id="492" w:name="_Toc402516982"/>
      <w:bookmarkStart w:id="493" w:name="_Toc7652"/>
      <w:bookmarkStart w:id="494" w:name="_Toc15239"/>
      <w:bookmarkStart w:id="495" w:name="_Toc22088"/>
      <w:r>
        <w:rPr>
          <w:rFonts w:hint="eastAsia" w:ascii="Times New Roman" w:hAnsi="Times New Roman" w:eastAsia="仿宋_GB2312" w:cs="Times New Roman"/>
          <w:bCs w:val="0"/>
          <w:sz w:val="28"/>
          <w:szCs w:val="28"/>
        </w:rPr>
        <w:t>附件4  生产工艺流程图</w:t>
      </w:r>
      <w:bookmarkEnd w:id="492"/>
      <w:bookmarkEnd w:id="493"/>
      <w:bookmarkEnd w:id="494"/>
      <w:bookmarkEnd w:id="495"/>
    </w:p>
    <w:p>
      <w:pPr>
        <w:rPr>
          <w:rFonts w:hint="eastAsia"/>
        </w:rPr>
      </w:pPr>
      <w:r>
        <w:rPr>
          <w:rFonts w:ascii="Calibri" w:hAnsi="Calibri" w:eastAsia="宋体" w:cs="黑体"/>
          <w:kern w:val="2"/>
          <w:sz w:val="21"/>
          <w:szCs w:val="24"/>
          <w:lang w:val="en-US" w:eastAsia="zh-CN" w:bidi="ar-SA"/>
        </w:rPr>
        <w:object>
          <v:shape id="_x0000_i1029" o:spt="75" type="#_x0000_t75" style="height:388.9pt;width:681.95pt;" o:ole="t" fillcolor="#FFFFFF" filled="f" o:preferrelative="t" stroked="f" coordsize="21600,21600">
            <v:path/>
            <v:fill on="f" color2="#FFFFFF" focussize="0,0"/>
            <v:stroke on="f"/>
            <v:imagedata r:id="rId10" cropleft="19948f" croptop="20599f" cropright="30287f" cropbottom="24939f" o:title=""/>
            <o:lock v:ext="edit" grouping="f" rotation="f" text="f" aspectratio="t"/>
            <w10:wrap type="none"/>
            <w10:anchorlock/>
          </v:shape>
          <o:OLEObject Type="Embed" ProgID="" ShapeID="_x0000_i1029" DrawAspect="Content" ObjectID="_1468075725" r:id="rId9">
            <o:LockedField>false</o:LockedField>
          </o:OLEObject>
        </w:object>
      </w:r>
    </w:p>
    <w:p>
      <w:pPr>
        <w:rPr>
          <w:rFonts w:hint="eastAsia"/>
        </w:rPr>
      </w:pPr>
    </w:p>
    <w:p>
      <w:pPr>
        <w:pStyle w:val="12"/>
        <w:rPr>
          <w:rFonts w:hint="eastAsia" w:ascii="Times New Roman" w:hAnsi="Times New Roman" w:eastAsia="仿宋_GB2312" w:cs="Times New Roman"/>
          <w:bCs w:val="0"/>
          <w:sz w:val="28"/>
          <w:szCs w:val="28"/>
        </w:rPr>
      </w:pPr>
      <w:bookmarkStart w:id="496" w:name="_Toc402516983"/>
      <w:bookmarkStart w:id="497" w:name="_Toc19792"/>
      <w:bookmarkStart w:id="498" w:name="_Toc22642"/>
      <w:bookmarkStart w:id="499" w:name="_Toc15267"/>
      <w:r>
        <w:rPr>
          <w:rFonts w:hint="eastAsia" w:ascii="Times New Roman" w:hAnsi="Times New Roman" w:eastAsia="仿宋_GB2312" w:cs="Times New Roman"/>
          <w:bCs w:val="0"/>
          <w:sz w:val="28"/>
          <w:szCs w:val="28"/>
        </w:rPr>
        <w:t xml:space="preserve">附件5  </w:t>
      </w:r>
      <w:bookmarkEnd w:id="496"/>
      <w:r>
        <w:rPr>
          <w:rFonts w:hint="eastAsia" w:ascii="Times New Roman" w:hAnsi="Times New Roman" w:eastAsia="仿宋_GB2312" w:cs="Times New Roman"/>
          <w:bCs w:val="0"/>
          <w:sz w:val="28"/>
          <w:szCs w:val="28"/>
          <w:lang w:eastAsia="zh-CN"/>
        </w:rPr>
        <w:t>地理位置图</w:t>
      </w:r>
      <w:bookmarkEnd w:id="497"/>
      <w:bookmarkEnd w:id="498"/>
      <w:bookmarkEnd w:id="499"/>
    </w:p>
    <w:p>
      <w:pPr>
        <w:spacing w:line="360" w:lineRule="auto"/>
        <w:ind w:firstLine="157" w:firstLineChars="75"/>
        <w:rPr>
          <w:rFonts w:hint="eastAsia" w:eastAsia="仿宋_GB2312"/>
          <w:lang w:eastAsia="zh-CN"/>
        </w:rPr>
      </w:pPr>
      <w:r>
        <w:rPr>
          <w:rFonts w:hint="eastAsia" w:ascii="Calibri" w:hAnsi="Calibri" w:eastAsia="仿宋_GB2312" w:cs="黑体"/>
          <w:kern w:val="2"/>
          <w:sz w:val="21"/>
          <w:szCs w:val="24"/>
          <w:lang w:val="en-US" w:eastAsia="zh-CN" w:bidi="ar-SA"/>
        </w:rPr>
        <w:drawing>
          <wp:inline distT="0" distB="0" distL="114300" distR="114300">
            <wp:extent cx="8521065" cy="5062220"/>
            <wp:effectExtent l="0" t="0" r="13335" b="508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11"/>
                    <a:srcRect l="510" t="319" r="333" b="29190"/>
                    <a:stretch>
                      <a:fillRect/>
                    </a:stretch>
                  </pic:blipFill>
                  <pic:spPr>
                    <a:xfrm>
                      <a:off x="0" y="0"/>
                      <a:ext cx="8521065" cy="5062220"/>
                    </a:xfrm>
                    <a:prstGeom prst="rect">
                      <a:avLst/>
                    </a:prstGeom>
                    <a:noFill/>
                    <a:ln w="9525">
                      <a:noFill/>
                    </a:ln>
                  </pic:spPr>
                </pic:pic>
              </a:graphicData>
            </a:graphic>
          </wp:inline>
        </w:drawing>
      </w:r>
    </w:p>
    <w:p>
      <w:pPr>
        <w:spacing w:line="360" w:lineRule="auto"/>
        <w:ind w:firstLine="235" w:firstLineChars="112"/>
        <w:sectPr>
          <w:type w:val="continuous"/>
          <w:pgSz w:w="16838" w:h="11906" w:orient="landscape"/>
          <w:pgMar w:top="1588" w:right="1588" w:bottom="1588" w:left="1588" w:header="851" w:footer="992" w:gutter="0"/>
          <w:pgNumType w:fmt="decimal"/>
          <w:cols w:space="720" w:num="1"/>
          <w:docGrid w:linePitch="312" w:charSpace="0"/>
        </w:sectPr>
      </w:pPr>
    </w:p>
    <w:p>
      <w:pPr>
        <w:pStyle w:val="12"/>
        <w:rPr>
          <w:rFonts w:hint="eastAsia" w:ascii="Times New Roman" w:hAnsi="Times New Roman" w:eastAsia="仿宋_GB2312" w:cs="Times New Roman"/>
          <w:bCs w:val="0"/>
          <w:sz w:val="28"/>
          <w:szCs w:val="28"/>
        </w:rPr>
      </w:pPr>
      <w:bookmarkStart w:id="500" w:name="_Toc402516984"/>
      <w:bookmarkStart w:id="501" w:name="_Toc30144"/>
      <w:bookmarkStart w:id="502" w:name="_Toc1834"/>
      <w:bookmarkStart w:id="503" w:name="_Toc2235"/>
      <w:r>
        <w:rPr>
          <w:rFonts w:hint="eastAsia" w:ascii="Times New Roman" w:hAnsi="Times New Roman" w:eastAsia="仿宋_GB2312" w:cs="Times New Roman"/>
          <w:bCs w:val="0"/>
          <w:sz w:val="28"/>
          <w:szCs w:val="28"/>
        </w:rPr>
        <w:t>附件6 紧急疏散线路、应急设施平面布置图</w:t>
      </w:r>
      <w:bookmarkEnd w:id="500"/>
      <w:bookmarkEnd w:id="501"/>
      <w:bookmarkEnd w:id="502"/>
      <w:bookmarkEnd w:id="503"/>
    </w:p>
    <w:p>
      <w:pPr>
        <w:spacing w:line="360" w:lineRule="auto"/>
        <w:jc w:val="center"/>
        <w:rPr>
          <w:rFonts w:hint="eastAsia" w:eastAsia="仿宋_GB2312"/>
          <w:lang w:eastAsia="zh-CN"/>
        </w:rPr>
      </w:pPr>
      <w:r>
        <w:rPr>
          <w:rFonts w:hint="eastAsia" w:ascii="Calibri" w:hAnsi="Calibri" w:eastAsia="仿宋_GB2312" w:cs="黑体"/>
          <w:kern w:val="2"/>
          <w:sz w:val="21"/>
          <w:szCs w:val="24"/>
          <w:lang w:val="en-US" w:eastAsia="zh-CN" w:bidi="ar-SA"/>
        </w:rPr>
        <w:drawing>
          <wp:inline distT="0" distB="0" distL="114300" distR="114300">
            <wp:extent cx="5883910" cy="7618730"/>
            <wp:effectExtent l="0" t="0" r="2540" b="127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2"/>
                    <a:srcRect l="6305" t="6238" r="2928" b="7153"/>
                    <a:stretch>
                      <a:fillRect/>
                    </a:stretch>
                  </pic:blipFill>
                  <pic:spPr>
                    <a:xfrm>
                      <a:off x="0" y="0"/>
                      <a:ext cx="5883910" cy="7618730"/>
                    </a:xfrm>
                    <a:prstGeom prst="rect">
                      <a:avLst/>
                    </a:prstGeom>
                    <a:noFill/>
                    <a:ln w="9525">
                      <a:noFill/>
                    </a:ln>
                  </pic:spPr>
                </pic:pic>
              </a:graphicData>
            </a:graphic>
          </wp:inline>
        </w:drawing>
      </w:r>
    </w:p>
    <w:p>
      <w:pPr>
        <w:spacing w:line="360" w:lineRule="auto"/>
        <w:ind w:firstLine="235" w:firstLineChars="112"/>
        <w:sectPr>
          <w:pgSz w:w="11906" w:h="16838"/>
          <w:pgMar w:top="1587" w:right="1588" w:bottom="1587" w:left="1588" w:header="851" w:footer="992" w:gutter="0"/>
          <w:pgNumType w:fmt="decimal"/>
          <w:cols w:space="720" w:num="1"/>
          <w:rtlGutter w:val="0"/>
          <w:docGrid w:linePitch="312" w:charSpace="0"/>
        </w:sectPr>
      </w:pPr>
    </w:p>
    <w:p>
      <w:pPr>
        <w:pStyle w:val="12"/>
        <w:rPr>
          <w:rFonts w:hint="eastAsia" w:ascii="Times New Roman" w:hAnsi="Times New Roman" w:eastAsia="仿宋_GB2312" w:cs="Times New Roman"/>
          <w:bCs w:val="0"/>
          <w:sz w:val="28"/>
          <w:szCs w:val="28"/>
        </w:rPr>
      </w:pPr>
      <w:bookmarkStart w:id="504" w:name="_Toc402516985"/>
      <w:bookmarkStart w:id="505" w:name="_Toc29703"/>
      <w:bookmarkStart w:id="506" w:name="_Toc19082"/>
      <w:bookmarkStart w:id="507" w:name="_Toc29671"/>
      <w:r>
        <w:rPr>
          <w:rFonts w:hint="eastAsia" w:ascii="Times New Roman" w:hAnsi="Times New Roman" w:eastAsia="仿宋_GB2312" w:cs="Times New Roman"/>
          <w:bCs w:val="0"/>
          <w:sz w:val="28"/>
          <w:szCs w:val="28"/>
        </w:rPr>
        <w:t>附件7  应急物资储备清单</w:t>
      </w:r>
      <w:bookmarkEnd w:id="504"/>
      <w:bookmarkEnd w:id="505"/>
      <w:bookmarkEnd w:id="506"/>
      <w:bookmarkEnd w:id="507"/>
    </w:p>
    <w:tbl>
      <w:tblPr>
        <w:tblStyle w:val="26"/>
        <w:tblW w:w="89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8"/>
        <w:gridCol w:w="3255"/>
        <w:gridCol w:w="1365"/>
        <w:gridCol w:w="3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应急物资名称</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数量</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存放地点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应急车辆</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2辆</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公  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急救箱</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1个</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总经办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喊话喇叭</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2个</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总经办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安全警示带</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1卷</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党群办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10个</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安环科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林格曼黑度计</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1个</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安环科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噪音计</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1个</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安环科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登高作业车</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1辆</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设备科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抢险工具</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若干</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设备科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备用吊泵</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2台</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设备科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PH计</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1台</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质检中心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应急照明灯</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3个</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生产科及各车间办公室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安全带</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5条</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各车间办公室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7"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雨衣雨鞋</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5套</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各车间办公室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沙  袋</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若个</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供应库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乳胶手套</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5付</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各车间办公室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7"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洒水车</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1台</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储运科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防护服</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5套</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生产科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19</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装载机</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2台</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储运科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氢氧化钠</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若干</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其他物资</w:t>
            </w: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若干</w:t>
            </w: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供应库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2" w:hRule="atLeast"/>
        </w:trPr>
        <w:tc>
          <w:tcPr>
            <w:tcW w:w="94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p>
        </w:tc>
        <w:tc>
          <w:tcPr>
            <w:tcW w:w="325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p>
        </w:tc>
        <w:tc>
          <w:tcPr>
            <w:tcW w:w="1365"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p>
        </w:tc>
        <w:tc>
          <w:tcPr>
            <w:tcW w:w="3373"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hint="eastAsia" w:ascii="仿宋_GB2312" w:hAnsi="仿宋_GB2312" w:eastAsia="仿宋_GB2312" w:cs="仿宋_GB2312"/>
                <w:sz w:val="24"/>
                <w:szCs w:val="24"/>
              </w:rPr>
            </w:pPr>
          </w:p>
        </w:tc>
      </w:tr>
    </w:tbl>
    <w:p>
      <w:pPr>
        <w:rPr>
          <w:rFonts w:hint="eastAsia" w:ascii="Times New Roman" w:hAnsi="Times New Roman" w:eastAsia="仿宋_GB2312" w:cs="Times New Roman"/>
          <w:bCs w:val="0"/>
          <w:kern w:val="2"/>
          <w:sz w:val="28"/>
          <w:szCs w:val="28"/>
          <w:lang w:val="en-US" w:eastAsia="zh-CN" w:bidi="ar-SA"/>
        </w:rPr>
      </w:pPr>
      <w:r>
        <w:rPr>
          <w:rFonts w:hint="eastAsia" w:ascii="Times New Roman" w:hAnsi="Times New Roman" w:eastAsia="仿宋_GB2312" w:cs="Times New Roman"/>
          <w:bCs w:val="0"/>
          <w:kern w:val="2"/>
          <w:sz w:val="28"/>
          <w:szCs w:val="28"/>
          <w:lang w:val="en-US" w:eastAsia="zh-CN" w:bidi="ar-SA"/>
        </w:rPr>
        <w:t>附件8  富化公司平面布置图</w:t>
      </w:r>
    </w:p>
    <w:p>
      <w:pPr>
        <w:rPr>
          <w:rFonts w:hint="eastAsia" w:ascii="Times New Roman" w:hAnsi="Times New Roman" w:eastAsia="仿宋_GB2312" w:cs="Times New Roman"/>
          <w:bCs w:val="0"/>
          <w:kern w:val="2"/>
          <w:sz w:val="28"/>
          <w:szCs w:val="28"/>
          <w:lang w:val="en-US" w:eastAsia="zh-CN" w:bidi="ar-SA"/>
        </w:rPr>
      </w:pPr>
      <w:r>
        <w:rPr>
          <w:rFonts w:hint="eastAsia" w:ascii="Times New Roman" w:hAnsi="Times New Roman" w:eastAsia="仿宋_GB2312" w:cs="Times New Roman"/>
          <w:bCs w:val="0"/>
          <w:kern w:val="2"/>
          <w:sz w:val="28"/>
          <w:szCs w:val="28"/>
          <w:lang w:val="en-US" w:eastAsia="zh-CN" w:bidi="ar-SA"/>
        </w:rPr>
        <w:drawing>
          <wp:inline distT="0" distB="0" distL="114300" distR="114300">
            <wp:extent cx="5529580" cy="7804785"/>
            <wp:effectExtent l="0" t="0" r="13970" b="5715"/>
            <wp:docPr id="47" name="图片 10" descr="富化平面布置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富化平面布置图-Model"/>
                    <pic:cNvPicPr>
                      <a:picLocks noChangeAspect="1"/>
                    </pic:cNvPicPr>
                  </pic:nvPicPr>
                  <pic:blipFill>
                    <a:blip r:embed="rId13"/>
                    <a:stretch>
                      <a:fillRect/>
                    </a:stretch>
                  </pic:blipFill>
                  <pic:spPr>
                    <a:xfrm>
                      <a:off x="0" y="0"/>
                      <a:ext cx="5529580" cy="7804785"/>
                    </a:xfrm>
                    <a:prstGeom prst="rect">
                      <a:avLst/>
                    </a:prstGeom>
                    <a:noFill/>
                    <a:ln w="9525">
                      <a:noFill/>
                    </a:ln>
                  </pic:spPr>
                </pic:pic>
              </a:graphicData>
            </a:graphic>
          </wp:inline>
        </w:drawing>
      </w:r>
    </w:p>
    <w:p>
      <w:pPr>
        <w:rPr>
          <w:rFonts w:hint="eastAsia" w:ascii="Times New Roman" w:hAnsi="Times New Roman" w:eastAsia="仿宋_GB2312" w:cs="Times New Roman"/>
          <w:bCs w:val="0"/>
          <w:kern w:val="2"/>
          <w:sz w:val="28"/>
          <w:szCs w:val="28"/>
          <w:lang w:val="en-US" w:eastAsia="zh-CN" w:bidi="ar-SA"/>
        </w:rPr>
      </w:pPr>
    </w:p>
    <w:p>
      <w:pPr>
        <w:rPr>
          <w:rFonts w:hint="eastAsia" w:ascii="Times New Roman" w:hAnsi="Times New Roman" w:eastAsia="仿宋_GB2312" w:cs="Times New Roman"/>
          <w:bCs w:val="0"/>
          <w:kern w:val="2"/>
          <w:sz w:val="28"/>
          <w:szCs w:val="28"/>
          <w:lang w:val="en-US" w:eastAsia="zh-CN" w:bidi="ar-SA"/>
        </w:rPr>
      </w:pPr>
      <w:r>
        <w:rPr>
          <w:rFonts w:hint="eastAsia" w:ascii="Times New Roman" w:hAnsi="Times New Roman" w:eastAsia="仿宋_GB2312" w:cs="Times New Roman"/>
          <w:bCs w:val="0"/>
          <w:kern w:val="2"/>
          <w:sz w:val="28"/>
          <w:szCs w:val="28"/>
          <w:lang w:val="en-US" w:eastAsia="zh-CN" w:bidi="ar-SA"/>
        </w:rPr>
        <w:t>附件9  富化公司风险源分布图</w:t>
      </w:r>
    </w:p>
    <w:p>
      <w:pPr>
        <w:rPr>
          <w:rFonts w:hint="eastAsia" w:ascii="Times New Roman" w:hAnsi="Times New Roman" w:eastAsia="仿宋_GB2312" w:cs="Times New Roman"/>
          <w:bCs w:val="0"/>
          <w:kern w:val="2"/>
          <w:sz w:val="28"/>
          <w:szCs w:val="28"/>
          <w:lang w:val="en-US" w:eastAsia="zh-CN" w:bidi="ar-SA"/>
        </w:rPr>
      </w:pPr>
      <w:r>
        <w:rPr>
          <w:rFonts w:hint="eastAsia" w:ascii="Times New Roman" w:hAnsi="Times New Roman" w:eastAsia="仿宋_GB2312" w:cs="Times New Roman"/>
          <w:bCs w:val="0"/>
          <w:kern w:val="2"/>
          <w:sz w:val="28"/>
          <w:szCs w:val="28"/>
          <w:lang w:val="en-US" w:eastAsia="zh-CN" w:bidi="ar-SA"/>
        </w:rPr>
        <w:drawing>
          <wp:inline distT="0" distB="0" distL="114300" distR="114300">
            <wp:extent cx="5529580" cy="8002905"/>
            <wp:effectExtent l="0" t="0" r="13970" b="17145"/>
            <wp:docPr id="48" name="图片 11" descr="富化公司风险源分布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富化公司风险源分布图-Model"/>
                    <pic:cNvPicPr>
                      <a:picLocks noChangeAspect="1"/>
                    </pic:cNvPicPr>
                  </pic:nvPicPr>
                  <pic:blipFill>
                    <a:blip r:embed="rId14"/>
                    <a:stretch>
                      <a:fillRect/>
                    </a:stretch>
                  </pic:blipFill>
                  <pic:spPr>
                    <a:xfrm>
                      <a:off x="0" y="0"/>
                      <a:ext cx="5529580" cy="8002905"/>
                    </a:xfrm>
                    <a:prstGeom prst="rect">
                      <a:avLst/>
                    </a:prstGeom>
                    <a:noFill/>
                    <a:ln w="9525">
                      <a:noFill/>
                    </a:ln>
                  </pic:spPr>
                </pic:pic>
              </a:graphicData>
            </a:graphic>
          </wp:inline>
        </w:drawing>
      </w:r>
    </w:p>
    <w:p>
      <w:pPr>
        <w:rPr>
          <w:rFonts w:hint="eastAsia" w:ascii="Times New Roman" w:hAnsi="Times New Roman" w:eastAsia="仿宋_GB2312" w:cs="Times New Roman"/>
          <w:bCs w:val="0"/>
          <w:kern w:val="2"/>
          <w:sz w:val="28"/>
          <w:szCs w:val="28"/>
          <w:lang w:val="en-US" w:eastAsia="zh-CN" w:bidi="ar-SA"/>
        </w:rPr>
      </w:pPr>
      <w:r>
        <w:rPr>
          <w:rFonts w:hint="eastAsia" w:ascii="Times New Roman" w:hAnsi="Times New Roman" w:eastAsia="仿宋_GB2312" w:cs="Times New Roman"/>
          <w:bCs w:val="0"/>
          <w:kern w:val="2"/>
          <w:sz w:val="28"/>
          <w:szCs w:val="28"/>
          <w:lang w:val="en-US" w:eastAsia="zh-CN" w:bidi="ar-SA"/>
        </w:rPr>
        <w:t>附件10  富化公司周边交通图</w:t>
      </w:r>
    </w:p>
    <w:p>
      <w:pPr>
        <w:rPr>
          <w:rFonts w:hint="eastAsia" w:ascii="Times New Roman" w:hAnsi="Times New Roman" w:eastAsia="仿宋_GB2312" w:cs="Times New Roman"/>
          <w:bCs w:val="0"/>
          <w:kern w:val="2"/>
          <w:sz w:val="28"/>
          <w:szCs w:val="28"/>
          <w:lang w:val="en-US" w:eastAsia="zh-CN" w:bidi="ar-SA"/>
        </w:rPr>
      </w:pPr>
      <w:r>
        <w:rPr>
          <w:rFonts w:hint="eastAsia" w:ascii="Times New Roman" w:hAnsi="Times New Roman" w:eastAsia="仿宋_GB2312" w:cs="Times New Roman"/>
          <w:bCs w:val="0"/>
          <w:kern w:val="2"/>
          <w:sz w:val="28"/>
          <w:szCs w:val="28"/>
          <w:lang w:val="en-US" w:eastAsia="zh-CN" w:bidi="ar-SA"/>
        </w:rPr>
        <w:drawing>
          <wp:inline distT="0" distB="0" distL="114300" distR="114300">
            <wp:extent cx="5540375" cy="7824470"/>
            <wp:effectExtent l="0" t="0" r="3175" b="5080"/>
            <wp:docPr id="49" name="图片 12" descr="交通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交通图1"/>
                    <pic:cNvPicPr>
                      <a:picLocks noChangeAspect="1"/>
                    </pic:cNvPicPr>
                  </pic:nvPicPr>
                  <pic:blipFill>
                    <a:blip r:embed="rId15"/>
                    <a:stretch>
                      <a:fillRect/>
                    </a:stretch>
                  </pic:blipFill>
                  <pic:spPr>
                    <a:xfrm>
                      <a:off x="0" y="0"/>
                      <a:ext cx="5540375" cy="7824470"/>
                    </a:xfrm>
                    <a:prstGeom prst="rect">
                      <a:avLst/>
                    </a:prstGeom>
                    <a:noFill/>
                    <a:ln w="9525">
                      <a:noFill/>
                    </a:ln>
                  </pic:spPr>
                </pic:pic>
              </a:graphicData>
            </a:graphic>
          </wp:inline>
        </w:drawing>
      </w:r>
    </w:p>
    <w:sectPr>
      <w:pgSz w:w="11906" w:h="16838"/>
      <w:pgMar w:top="1587" w:right="1588" w:bottom="1587" w:left="158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0"/>
      <w:jc w:val="center"/>
      <w:rPr>
        <w:rFonts w:hint="eastAsia"/>
        <w:sz w:val="24"/>
        <w:szCs w:val="24"/>
        <w:lang w:val="en-US" w:eastAsia="zh-CN"/>
      </w:rPr>
    </w:pPr>
    <w:r>
      <w:rPr>
        <w:rFonts w:ascii="Calibri" w:hAnsi="Calibri" w:eastAsia="宋体" w:cs="黑体"/>
        <w:kern w:val="2"/>
        <w:sz w:val="24"/>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72"/>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snapToGrid w:val="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sz w:val="24"/>
                              <w:szCs w:val="24"/>
                            </w:rPr>
                            <w:t>1</w:t>
                          </w:r>
                          <w:r>
                            <w:rPr>
                              <w:rFonts w:hint="eastAsia"/>
                              <w:sz w:val="24"/>
                              <w:szCs w:val="24"/>
                              <w:lang w:eastAsia="zh-CN"/>
                            </w:rPr>
                            <w:fldChar w:fldCharType="end"/>
                          </w:r>
                        </w:p>
                      </w:txbxContent>
                    </wps:txbx>
                    <wps:bodyPr wrap="none" lIns="0" tIns="0" rIns="0" bIns="0" upright="1">
                      <a:spAutoFit/>
                    </wps:bodyPr>
                  </wps:wsp>
                </a:graphicData>
              </a:graphic>
            </wp:anchor>
          </w:drawing>
        </mc:Choice>
        <mc:Fallback>
          <w:pict>
            <v:rect id="文本框 7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5dblS0AAA&#10;AAUBAAAPAAAAAAAAAAEAIAAAACIAAABkcnMvZG93bnJldi54bWxQSwECFAAUAAAACACHTuJAmvf+&#10;uLQBAABMAwAADgAAAAAAAAABACAAAAAfAQAAZHJzL2Uyb0RvYy54bWxQSwUGAAAAAAYABgBZAQAA&#10;RQUAAAAA&#10;">
              <v:fill on="f" focussize="0,0"/>
              <v:stroke on="f"/>
              <v:imagedata o:title=""/>
              <o:lock v:ext="edit" aspectratio="f"/>
              <v:textbox inset="0mm,0mm,0mm,0mm" style="mso-fit-shape-to-text:t;">
                <w:txbxContent>
                  <w:p>
                    <w:pPr>
                      <w:snapToGrid w:val="0"/>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sz w:val="24"/>
                        <w:szCs w:val="24"/>
                      </w:rPr>
                      <w:t>1</w:t>
                    </w:r>
                    <w:r>
                      <w:rPr>
                        <w:rFonts w:hint="eastAsia"/>
                        <w:sz w:val="24"/>
                        <w:szCs w:val="24"/>
                        <w:lang w:eastAsia="zh-CN"/>
                      </w:rPr>
                      <w:fldChar w:fldCharType="end"/>
                    </w:r>
                  </w:p>
                </w:txbxContent>
              </v:textbox>
            </v:rect>
          </w:pict>
        </mc:Fallback>
      </mc:AlternateContent>
    </w:r>
    <w:r>
      <w:rPr>
        <w:rFonts w:ascii="Calibri" w:hAnsi="Calibri" w:eastAsia="宋体" w:cs="黑体"/>
        <w:kern w:val="2"/>
        <w:sz w:val="24"/>
        <w:szCs w:val="18"/>
        <w:lang w:val="en-US" w:eastAsia="zh-CN" w:bidi="ar-SA"/>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09905" cy="1828800"/>
              <wp:effectExtent l="0" t="0" r="0" b="0"/>
              <wp:wrapNone/>
              <wp:docPr id="50" name="文本框 71"/>
              <wp:cNvGraphicFramePr/>
              <a:graphic xmlns:a="http://schemas.openxmlformats.org/drawingml/2006/main">
                <a:graphicData uri="http://schemas.microsoft.com/office/word/2010/wordprocessingShape">
                  <wps:wsp>
                    <wps:cNvSpPr/>
                    <wps:spPr>
                      <a:xfrm>
                        <a:off x="0" y="0"/>
                        <a:ext cx="509905" cy="1828800"/>
                      </a:xfrm>
                      <a:prstGeom prst="rect">
                        <a:avLst/>
                      </a:prstGeom>
                      <a:noFill/>
                      <a:ln w="9525">
                        <a:noFill/>
                      </a:ln>
                    </wps:spPr>
                    <wps:txbx>
                      <w:txbxContent>
                        <w:p>
                          <w:pPr>
                            <w:rPr>
                              <w:rFonts w:hint="eastAsia"/>
                              <w:sz w:val="24"/>
                              <w:szCs w:val="24"/>
                              <w:lang w:eastAsia="zh-CN"/>
                            </w:rPr>
                          </w:pPr>
                        </w:p>
                      </w:txbxContent>
                    </wps:txbx>
                    <wps:bodyPr wrap="square" lIns="0" tIns="0" rIns="0" bIns="0" upright="1">
                      <a:spAutoFit/>
                    </wps:bodyPr>
                  </wps:wsp>
                </a:graphicData>
              </a:graphic>
            </wp:anchor>
          </w:drawing>
        </mc:Choice>
        <mc:Fallback>
          <w:pict>
            <v:rect id="文本框 71" o:spid="_x0000_s1026" o:spt="1" style="position:absolute;left:0pt;margin-top:0pt;height:144pt;width:40.15pt;mso-position-horizontal:center;mso-position-horizontal-relative:margin;z-index:251658240;mso-width-relative:page;mso-height-relative:page;" filled="f" stroked="f" coordsize="21600,21600" o:gfxdata="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NI1AAAAAQBAAAPAAAAAAAAAAEAIAAAACIAAABkcnMvZG93bnJldi54bWxQSwECFAAUAAAA&#10;CACHTuJAfjlcJLkBAABNAwAADgAAAAAAAAABACAAAAAjAQAAZHJzL2Uyb0RvYy54bWxQSwUGAAAA&#10;AAYABgBZAQAATgUAAAAA&#10;">
              <v:fill on="f" focussize="0,0"/>
              <v:stroke on="f"/>
              <v:imagedata o:title=""/>
              <o:lock v:ext="edit" aspectratio="f"/>
              <v:textbox inset="0mm,0mm,0mm,0mm" style="mso-fit-shape-to-text:t;">
                <w:txbxContent>
                  <w:p>
                    <w:pPr>
                      <w:rPr>
                        <w:rFonts w:hint="eastAsia"/>
                        <w:sz w:val="24"/>
                        <w:szCs w:val="24"/>
                        <w:lang w:eastAsia="zh-CN"/>
                      </w:rPr>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tentative="0">
      <w:start w:val="1"/>
      <w:numFmt w:val="decimal"/>
      <w:lvlText w:val="%1."/>
      <w:lvlJc w:val="left"/>
      <w:pPr>
        <w:tabs>
          <w:tab w:val="left" w:pos="425"/>
        </w:tabs>
        <w:ind w:left="425" w:hanging="425"/>
      </w:pPr>
      <w:rPr>
        <w:rFonts w:hint="eastAsia"/>
      </w:rPr>
    </w:lvl>
    <w:lvl w:ilvl="1" w:tentative="0">
      <w:start w:val="1"/>
      <w:numFmt w:val="decimal"/>
      <w:pStyle w:val="2"/>
      <w:isLgl/>
      <w:lvlText w:val="%1.%2."/>
      <w:lvlJc w:val="left"/>
      <w:pPr>
        <w:tabs>
          <w:tab w:val="left" w:pos="2352"/>
        </w:tabs>
        <w:ind w:left="2352" w:hanging="567"/>
      </w:pPr>
      <w:rPr>
        <w:rFonts w:hint="eastAsia"/>
      </w:rPr>
    </w:lvl>
    <w:lvl w:ilvl="2" w:tentative="0">
      <w:start w:val="1"/>
      <w:numFmt w:val="decimal"/>
      <w:lvlText w:val="%1.%2.%3."/>
      <w:lvlJc w:val="left"/>
      <w:pPr>
        <w:tabs>
          <w:tab w:val="left" w:pos="2809"/>
        </w:tabs>
        <w:ind w:left="2809" w:hanging="709"/>
      </w:pPr>
      <w:rPr>
        <w:rFonts w:hint="eastAsia"/>
      </w:rPr>
    </w:lvl>
    <w:lvl w:ilvl="3" w:tentative="0">
      <w:start w:val="1"/>
      <w:numFmt w:val="decimal"/>
      <w:lvlText w:val="%1.%2.%3.%4."/>
      <w:lvlJc w:val="left"/>
      <w:pPr>
        <w:tabs>
          <w:tab w:val="left" w:pos="1481"/>
        </w:tabs>
        <w:ind w:left="148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5863258B"/>
    <w:multiLevelType w:val="singleLevel"/>
    <w:tmpl w:val="5863258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7C7C"/>
    <w:rsid w:val="016C7B51"/>
    <w:rsid w:val="0384039F"/>
    <w:rsid w:val="0BAD00A5"/>
    <w:rsid w:val="0BB771EC"/>
    <w:rsid w:val="0C99626D"/>
    <w:rsid w:val="24E31F7E"/>
    <w:rsid w:val="2A897008"/>
    <w:rsid w:val="2E302C09"/>
    <w:rsid w:val="2EB030CC"/>
    <w:rsid w:val="31C66738"/>
    <w:rsid w:val="33A94F83"/>
    <w:rsid w:val="37D90B61"/>
    <w:rsid w:val="38140623"/>
    <w:rsid w:val="42940124"/>
    <w:rsid w:val="47B12FAF"/>
    <w:rsid w:val="486721BC"/>
    <w:rsid w:val="4DA26B1E"/>
    <w:rsid w:val="4E646162"/>
    <w:rsid w:val="5C3601F7"/>
    <w:rsid w:val="5CE6049D"/>
    <w:rsid w:val="5F782E78"/>
    <w:rsid w:val="65C83CB5"/>
    <w:rsid w:val="75D522B2"/>
    <w:rsid w:val="762041EF"/>
    <w:rsid w:val="7CDA0C4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3"/>
    <w:unhideWhenUsed/>
    <w:qFormat/>
    <w:uiPriority w:val="0"/>
    <w:pPr>
      <w:numPr>
        <w:ilvl w:val="1"/>
        <w:numId w:val="1"/>
      </w:numPr>
      <w:tabs>
        <w:tab w:val="left" w:pos="425"/>
      </w:tabs>
      <w:overflowPunct w:val="0"/>
      <w:autoSpaceDE w:val="0"/>
      <w:autoSpaceDN w:val="0"/>
      <w:adjustRightInd w:val="0"/>
      <w:spacing w:before="40" w:after="40" w:line="360" w:lineRule="auto"/>
      <w:textAlignment w:val="baseline"/>
      <w:outlineLvl w:val="1"/>
    </w:pPr>
    <w:rPr>
      <w:rFonts w:ascii="Arial" w:hAnsi="Arial" w:eastAsia="黑体"/>
      <w:kern w:val="20"/>
      <w:sz w:val="28"/>
      <w:szCs w:val="20"/>
    </w:rPr>
  </w:style>
  <w:style w:type="paragraph" w:styleId="4">
    <w:name w:val="heading 3"/>
    <w:basedOn w:val="1"/>
    <w:next w:val="3"/>
    <w:unhideWhenUsed/>
    <w:qFormat/>
    <w:uiPriority w:val="0"/>
    <w:pPr>
      <w:overflowPunct w:val="0"/>
      <w:autoSpaceDE w:val="0"/>
      <w:autoSpaceDN w:val="0"/>
      <w:adjustRightInd w:val="0"/>
      <w:spacing w:before="20" w:after="20" w:line="360" w:lineRule="auto"/>
      <w:textAlignment w:val="baseline"/>
      <w:outlineLvl w:val="2"/>
    </w:pPr>
    <w:rPr>
      <w:rFonts w:ascii="Arial" w:hAnsi="Arial" w:eastAsia="黑体"/>
      <w:kern w:val="20"/>
      <w:sz w:val="24"/>
      <w:lang w:val="en-US" w:eastAsia="zh-CN" w:bidi="ar-SA"/>
    </w:rPr>
  </w:style>
  <w:style w:type="character" w:default="1" w:styleId="13">
    <w:name w:val="Default Paragraph Font"/>
    <w:link w:val="14"/>
    <w:semiHidden/>
    <w:qFormat/>
    <w:uiPriority w:val="0"/>
    <w:rPr>
      <w:rFonts w:eastAsia="宋体"/>
      <w:sz w:val="21"/>
      <w:szCs w:val="20"/>
    </w:rPr>
  </w:style>
  <w:style w:type="table" w:default="1" w:styleId="26">
    <w:name w:val="Normal Table"/>
    <w:unhideWhenUsed/>
    <w:qFormat/>
    <w:uiPriority w:val="99"/>
    <w:tblPr>
      <w:tblStyle w:val="26"/>
      <w:tblLayout w:type="fixed"/>
      <w:tblCellMar>
        <w:top w:w="0" w:type="dxa"/>
        <w:left w:w="108" w:type="dxa"/>
        <w:bottom w:w="0" w:type="dxa"/>
        <w:right w:w="108" w:type="dxa"/>
      </w:tblCellMar>
    </w:tblPr>
  </w:style>
  <w:style w:type="paragraph" w:styleId="3">
    <w:name w:val="Body Text First Indent"/>
    <w:basedOn w:val="1"/>
    <w:qFormat/>
    <w:uiPriority w:val="0"/>
    <w:pPr>
      <w:overflowPunct w:val="0"/>
      <w:autoSpaceDE w:val="0"/>
      <w:autoSpaceDN w:val="0"/>
      <w:adjustRightInd w:val="0"/>
      <w:spacing w:line="360" w:lineRule="auto"/>
      <w:ind w:firstLine="539"/>
      <w:textAlignment w:val="baseline"/>
    </w:pPr>
    <w:rPr>
      <w:kern w:val="0"/>
      <w:sz w:val="28"/>
      <w:szCs w:val="20"/>
    </w:rPr>
  </w:style>
  <w:style w:type="paragraph" w:styleId="5">
    <w:name w:val="toc 3"/>
    <w:basedOn w:val="1"/>
    <w:next w:val="1"/>
    <w:uiPriority w:val="0"/>
    <w:pPr>
      <w:ind w:left="840" w:leftChars="400"/>
    </w:pPr>
  </w:style>
  <w:style w:type="paragraph" w:styleId="6">
    <w:name w:val="Plain Text"/>
    <w:basedOn w:val="1"/>
    <w:qFormat/>
    <w:uiPriority w:val="0"/>
    <w:rPr>
      <w:rFonts w:ascii="宋体" w:hAnsi="Courier New" w:eastAsia="宋体"/>
      <w:sz w:val="21"/>
      <w:szCs w:val="20"/>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pPr>
      <w:numPr>
        <w:ilvl w:val="0"/>
        <w:numId w:val="0"/>
      </w:numPr>
      <w:tabs>
        <w:tab w:val="left" w:leader="middleDot" w:pos="8820"/>
      </w:tabs>
      <w:spacing w:line="460" w:lineRule="exact"/>
    </w:pPr>
    <w:rPr>
      <w:rFonts w:eastAsia="Times New Roman"/>
    </w:rPr>
  </w:style>
  <w:style w:type="paragraph" w:styleId="10">
    <w:name w:val="toc 2"/>
    <w:basedOn w:val="1"/>
    <w:next w:val="1"/>
    <w:uiPriority w:val="0"/>
    <w:pPr>
      <w:ind w:left="420" w:leftChars="200"/>
    </w:pPr>
  </w:style>
  <w:style w:type="paragraph" w:styleId="11">
    <w:name w:val="Normal (Web)"/>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styleId="12">
    <w:name w:val="Title"/>
    <w:basedOn w:val="1"/>
    <w:qFormat/>
    <w:uiPriority w:val="0"/>
    <w:pPr>
      <w:widowControl/>
      <w:spacing w:line="360" w:lineRule="auto"/>
      <w:jc w:val="left"/>
      <w:outlineLvl w:val="0"/>
    </w:pPr>
    <w:rPr>
      <w:rFonts w:ascii="黑体" w:hAnsi="Arial" w:eastAsia="黑体" w:cs="Arial"/>
      <w:bCs/>
      <w:kern w:val="0"/>
      <w:sz w:val="32"/>
      <w:szCs w:val="32"/>
    </w:rPr>
  </w:style>
  <w:style w:type="paragraph" w:customStyle="1" w:styleId="14">
    <w:name w:val="默认段落字体 Para Char"/>
    <w:basedOn w:val="1"/>
    <w:next w:val="1"/>
    <w:link w:val="13"/>
    <w:qFormat/>
    <w:uiPriority w:val="0"/>
    <w:pPr>
      <w:spacing w:line="360" w:lineRule="auto"/>
      <w:ind w:firstLine="200" w:firstLineChars="200"/>
    </w:pPr>
    <w:rPr>
      <w:rFonts w:eastAsia="宋体"/>
      <w:sz w:val="21"/>
      <w:szCs w:val="20"/>
    </w:rPr>
  </w:style>
  <w:style w:type="character" w:styleId="15">
    <w:name w:val="Strong"/>
    <w:basedOn w:val="13"/>
    <w:qFormat/>
    <w:uiPriority w:val="0"/>
    <w:rPr>
      <w:b/>
    </w:rPr>
  </w:style>
  <w:style w:type="character" w:styleId="16">
    <w:name w:val="page number"/>
    <w:basedOn w:val="13"/>
    <w:qFormat/>
    <w:uiPriority w:val="0"/>
  </w:style>
  <w:style w:type="character" w:styleId="17">
    <w:name w:val="FollowedHyperlink"/>
    <w:basedOn w:val="13"/>
    <w:qFormat/>
    <w:uiPriority w:val="0"/>
    <w:rPr>
      <w:color w:val="333333"/>
      <w:u w:val="none"/>
    </w:rPr>
  </w:style>
  <w:style w:type="character" w:styleId="18">
    <w:name w:val="Emphasis"/>
    <w:basedOn w:val="13"/>
    <w:qFormat/>
    <w:uiPriority w:val="0"/>
    <w:rPr>
      <w:b/>
    </w:rPr>
  </w:style>
  <w:style w:type="character" w:styleId="19">
    <w:name w:val="HTML Definition"/>
    <w:basedOn w:val="13"/>
    <w:qFormat/>
    <w:uiPriority w:val="0"/>
  </w:style>
  <w:style w:type="character" w:styleId="20">
    <w:name w:val="HTML Variable"/>
    <w:basedOn w:val="13"/>
    <w:qFormat/>
    <w:uiPriority w:val="0"/>
  </w:style>
  <w:style w:type="character" w:styleId="21">
    <w:name w:val="Hyperlink"/>
    <w:basedOn w:val="13"/>
    <w:qFormat/>
    <w:uiPriority w:val="0"/>
    <w:rPr>
      <w:color w:val="626262"/>
      <w:u w:val="none"/>
    </w:rPr>
  </w:style>
  <w:style w:type="character" w:styleId="22">
    <w:name w:val="HTML Code"/>
    <w:basedOn w:val="13"/>
    <w:qFormat/>
    <w:uiPriority w:val="0"/>
    <w:rPr>
      <w:rFonts w:ascii="Courier New" w:hAnsi="Courier New"/>
      <w:sz w:val="20"/>
    </w:rPr>
  </w:style>
  <w:style w:type="character" w:styleId="23">
    <w:name w:val="HTML Cite"/>
    <w:basedOn w:val="13"/>
    <w:qFormat/>
    <w:uiPriority w:val="0"/>
  </w:style>
  <w:style w:type="character" w:styleId="24">
    <w:name w:val="HTML Keyboard"/>
    <w:basedOn w:val="13"/>
    <w:qFormat/>
    <w:uiPriority w:val="0"/>
    <w:rPr>
      <w:rFonts w:ascii="Courier New" w:hAnsi="Courier New"/>
      <w:sz w:val="20"/>
    </w:rPr>
  </w:style>
  <w:style w:type="character" w:styleId="25">
    <w:name w:val="HTML Sample"/>
    <w:basedOn w:val="13"/>
    <w:qFormat/>
    <w:uiPriority w:val="0"/>
    <w:rPr>
      <w:rFonts w:ascii="Courier New" w:hAnsi="Courier New"/>
    </w:rPr>
  </w:style>
  <w:style w:type="paragraph" w:customStyle="1" w:styleId="27">
    <w:name w:val="CM4"/>
    <w:basedOn w:val="28"/>
    <w:next w:val="28"/>
    <w:qFormat/>
    <w:uiPriority w:val="0"/>
    <w:pPr>
      <w:spacing w:line="591" w:lineRule="atLeast"/>
    </w:pPr>
    <w:rPr>
      <w:rFonts w:cs="Times New Roman"/>
      <w:color w:val="auto"/>
    </w:rPr>
  </w:style>
  <w:style w:type="paragraph" w:customStyle="1" w:styleId="28">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29">
    <w:name w:val="bds_more1"/>
    <w:basedOn w:val="13"/>
    <w:qFormat/>
    <w:uiPriority w:val="0"/>
  </w:style>
  <w:style w:type="character" w:customStyle="1" w:styleId="30">
    <w:name w:val="this"/>
    <w:basedOn w:val="13"/>
    <w:qFormat/>
    <w:uiPriority w:val="0"/>
    <w:rPr>
      <w:color w:val="FF0000"/>
      <w:shd w:val="clear" w:color="010000" w:fill="FFCC00"/>
    </w:rPr>
  </w:style>
  <w:style w:type="character" w:customStyle="1" w:styleId="31">
    <w:name w:val="bds_nopic"/>
    <w:basedOn w:val="13"/>
    <w:qFormat/>
    <w:uiPriority w:val="0"/>
  </w:style>
  <w:style w:type="character" w:customStyle="1" w:styleId="32">
    <w:name w:val="bds_more"/>
    <w:basedOn w:val="13"/>
    <w:qFormat/>
    <w:uiPriority w:val="0"/>
    <w:rPr>
      <w:rFonts w:hint="eastAsia" w:ascii="宋体" w:hAnsi="宋体" w:eastAsia="宋体" w:cs="宋体"/>
    </w:rPr>
  </w:style>
  <w:style w:type="character" w:customStyle="1" w:styleId="33">
    <w:name w:val="bds_more2"/>
    <w:basedOn w:val="13"/>
    <w:uiPriority w:val="0"/>
  </w:style>
  <w:style w:type="character" w:customStyle="1" w:styleId="34">
    <w:name w:val="bds_nopic1"/>
    <w:basedOn w:val="13"/>
    <w:qFormat/>
    <w:uiPriority w:val="0"/>
  </w:style>
  <w:style w:type="character" w:customStyle="1" w:styleId="35">
    <w:name w:val="bds_nopic2"/>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2016-10-19T03:35:00Z</dcterms:created>
  <dc:creator>Administrator</dc:creator>
  <cp:lastModifiedBy>Administrator</cp:lastModifiedBy>
  <cp:lastPrinted>2016-12-29T02:45:10Z</cp:lastPrinted>
  <dcterms:modified xsi:type="dcterms:W3CDTF">2017-07-18T02:10:25Z</dcterms:modified>
  <dc:title> FH/HBYA01-2016</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